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69933d8k.htm"/>
      <w:bookmarkStart w:id="1" w:name="ksd169933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28,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ORIC Pharmaceuticals,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001-39269</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47-1787157</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240 E. Grand Ave, 2nd Floor</w:t>
      </w:r>
    </w:p>
    <w:p>
      <w:pPr>
        <w:pStyle w:val="TextBody"/>
        <w:bidi w:val="0"/>
        <w:spacing w:before="0" w:after="0"/>
        <w:jc w:val="center"/>
        <w:rPr>
          <w:rFonts w:ascii="Times New Roman" w:hAnsi="Times New Roman"/>
          <w:b/>
          <w:sz w:val="20"/>
        </w:rPr>
      </w:pPr>
      <w:r>
        <w:rPr>
          <w:rFonts w:ascii="Times New Roman" w:hAnsi="Times New Roman"/>
          <w:b/>
          <w:sz w:val="20"/>
        </w:rPr>
        <w:t>South San Francisco, CA 94080</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including zip code)</w:t>
      </w:r>
    </w:p>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(650) 388-5600</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2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385" w:type="dxa"/>
        <w:jc w:val="left"/>
        <w:tblInd w:w="0" w:type="dxa"/>
        <w:tblLayout w:type="fixed"/>
        <w:tblCellMar>
          <w:top w:w="0" w:type="dxa"/>
          <w:left w:w="0" w:type="dxa"/>
          <w:bottom w:w="0" w:type="dxa"/>
          <w:right w:w="0" w:type="dxa"/>
        </w:tblCellMar>
      </w:tblPr>
      <w:tblGrid>
        <w:gridCol w:w="4265"/>
        <w:gridCol w:w="60"/>
        <w:gridCol w:w="740"/>
        <w:gridCol w:w="60"/>
        <w:gridCol w:w="3260"/>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ORIC</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5.02 Departure of Directors or Certain Officers; Election of Directors; Appointment of Certain Officers; Compensatory Arrangements of Certain Officers. </w:t>
      </w:r>
    </w:p>
    <w:p>
      <w:pPr>
        <w:pStyle w:val="TextBody"/>
        <w:bidi w:val="0"/>
        <w:spacing w:before="120" w:after="0"/>
        <w:jc w:val="left"/>
        <w:rPr>
          <w:rFonts w:ascii="Times New Roman" w:hAnsi="Times New Roman"/>
          <w:sz w:val="20"/>
        </w:rPr>
      </w:pPr>
      <w:r>
        <w:rPr>
          <w:rFonts w:ascii="Times New Roman" w:hAnsi="Times New Roman"/>
          <w:sz w:val="20"/>
        </w:rPr>
        <w:t xml:space="preserve">Effective July 28, 2026, the Board of Directors (the “Board”) of ORIC Pharmaceuticals, Inc. (the “Company”) approved the ORIC Pharmaceuticals, Inc. Amended and Restated 2022 Inducement Equity Incentive Plan (as amended, the “Inducement Plan”), in order to increase the number of shares reserved for issuance under the Inducement Plan. Subject to the adjustment provisions of the Inducement Plan, the Board reserved an additional 1,100,000 shares of the Company’s common stock, or 3,350,000 shares of common stock in the aggregate, for issuance pursuant to equity awards granted under the Inducement Plan. </w:t>
      </w:r>
    </w:p>
    <w:p>
      <w:pPr>
        <w:pStyle w:val="TextBody"/>
        <w:bidi w:val="0"/>
        <w:spacing w:before="240" w:after="0"/>
        <w:jc w:val="left"/>
        <w:rPr>
          <w:rFonts w:ascii="Times New Roman" w:hAnsi="Times New Roman"/>
          <w:sz w:val="20"/>
        </w:rPr>
      </w:pPr>
      <w:r>
        <w:rPr>
          <w:rFonts w:ascii="Times New Roman" w:hAnsi="Times New Roman"/>
          <w:sz w:val="20"/>
        </w:rPr>
        <w:t xml:space="preserve">The Inducement Plan and increases to the shares reserved thereunder were adopted without stockholder approval pursuant to the applicable Nasdaq Listing Rules. The Inducement Plan provides for the grant of equity-based awards, including nonstatutory stock options, restricted stock units, restricted stock, stock appreciation rights, performance shares and performance stock units, and its terms are substantially similar to the Company’s 2020 Equity Incentive Plan, including with respect to treatment of equity awards in the event of a “merger” or “change in control” as defined under the Inducement Plan but with such other terms and conditions intended to comply with the Nasdaq inducement award exception or to comply with the Nasdaq acquisition and merger exception.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 or, to the extent permitted by the Nasdaq Listing Rules, in connection with a merger or acquisition. </w:t>
      </w:r>
    </w:p>
    <w:p>
      <w:pPr>
        <w:pStyle w:val="TextBody"/>
        <w:bidi w:val="0"/>
        <w:spacing w:before="240" w:after="0"/>
        <w:jc w:val="left"/>
        <w:rPr>
          <w:rFonts w:ascii="Times New Roman" w:hAnsi="Times New Roman"/>
          <w:sz w:val="20"/>
        </w:rPr>
      </w:pPr>
      <w:r>
        <w:rPr>
          <w:rFonts w:ascii="Times New Roman" w:hAnsi="Times New Roman"/>
          <w:sz w:val="20"/>
        </w:rPr>
        <w:t xml:space="preserve">A copy of the Inducement Plan and related form agreements under the Inducement Plan are attached as Exhibit 10.1 hereto and incorporated by reference herein. The above description of the Inducement Plan does not purport to be complete and is qualified in its entirety by reference to such exhibit. </w:t>
      </w:r>
    </w:p>
    <w:p>
      <w:pPr>
        <w:pStyle w:val="TextBody"/>
        <w:bidi w:val="0"/>
        <w:spacing w:before="360" w:after="0"/>
        <w:jc w:val="left"/>
        <w:rPr>
          <w:rFonts w:ascii="Times New Roman" w:hAnsi="Times New Roman"/>
          <w:b/>
          <w:sz w:val="20"/>
        </w:rPr>
      </w:pPr>
      <w:r>
        <w:rPr>
          <w:rFonts w:ascii="Times New Roman" w:hAnsi="Times New Roman"/>
          <w:b/>
          <w:sz w:val="20"/>
        </w:rPr>
        <w:t xml:space="preserve">Item 9.01 Financial Statements and Exhibits. </w:t>
      </w:r>
    </w:p>
    <w:p>
      <w:pPr>
        <w:pStyle w:val="TextBody"/>
        <w:bidi w:val="0"/>
        <w:spacing w:before="120" w:after="0"/>
        <w:jc w:val="left"/>
        <w:rPr>
          <w:rFonts w:ascii="Times New Roman" w:hAnsi="Times New Roman"/>
          <w:b/>
          <w:sz w:val="20"/>
        </w:rPr>
      </w:pPr>
      <w:r>
        <w:rPr>
          <w:rFonts w:ascii="Times New Roman" w:hAnsi="Times New Roman"/>
          <w:b/>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45"/>
        <w:gridCol w:w="120"/>
        <w:gridCol w:w="8940"/>
      </w:tblGrid>
      <w:tr>
        <w:trPr/>
        <w:tc>
          <w:tcPr>
            <w:tcW w:w="11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940" w:type="dxa"/>
            <w:tcBorders/>
            <w:vAlign w:val="center"/>
          </w:tcPr>
          <w:p>
            <w:pPr>
              <w:pStyle w:val="TableContents"/>
              <w:bidi w:val="0"/>
              <w:spacing w:before="0" w:after="283"/>
              <w:jc w:val="left"/>
              <w:rPr>
                <w:sz w:val="4"/>
                <w:szCs w:val="4"/>
              </w:rPr>
            </w:pPr>
            <w:r>
              <w:rPr>
                <w:sz w:val="4"/>
                <w:szCs w:val="4"/>
              </w:rPr>
            </w:r>
          </w:p>
        </w:tc>
      </w:tr>
      <w:tr>
        <w:trPr/>
        <w:tc>
          <w:tcPr>
            <w:tcW w:w="1145" w:type="dxa"/>
            <w:tcBorders>
              <w:bottom w:val="single" w:sz="8" w:space="0" w:color="000000"/>
            </w:tcBorders>
            <w:tcMar>
              <w:bottom w:w="28" w:type="dxa"/>
            </w:tcMar>
            <w:vAlign w:val="center"/>
          </w:tcPr>
          <w:p>
            <w:pPr>
              <w:pStyle w:val="TableContents"/>
              <w:bidi w:val="0"/>
              <w:spacing w:before="0" w:after="283"/>
              <w:jc w:val="center"/>
              <w:rPr/>
            </w:pPr>
            <w:r>
              <w:rPr/>
              <w:t>Exhibit No.</w:t>
            </w:r>
          </w:p>
        </w:tc>
        <w:tc>
          <w:tcPr>
            <w:tcW w:w="120" w:type="dxa"/>
            <w:tcBorders/>
            <w:vAlign w:val="center"/>
          </w:tcPr>
          <w:p>
            <w:pPr>
              <w:pStyle w:val="TableContents"/>
              <w:bidi w:val="0"/>
              <w:spacing w:before="0" w:after="283"/>
              <w:jc w:val="left"/>
              <w:rPr/>
            </w:pPr>
            <w:r>
              <w:rPr/>
              <w:t>  </w:t>
            </w:r>
          </w:p>
        </w:tc>
        <w:tc>
          <w:tcPr>
            <w:tcW w:w="8940"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sz w:val="16"/>
              </w:rPr>
            </w:pPr>
            <w:r>
              <w:rPr>
                <w:rFonts w:ascii="Times New Roman" w:hAnsi="Times New Roman"/>
                <w:sz w:val="16"/>
              </w:rPr>
              <w:t>Description</w:t>
            </w:r>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hyperlink w:anchor="d169933dex101.htm">
              <w:r>
                <w:rPr>
                  <w:rStyle w:val="InternetLink"/>
                </w:rPr>
                <w:t xml:space="preserve">Amended and Restated 2022 Inducement Equity Incentive Plan, and form agreements thereunder. </w:t>
              </w:r>
            </w:hyperlink>
          </w:p>
        </w:tc>
      </w:tr>
      <w:tr>
        <w:trPr/>
        <w:tc>
          <w:tcPr>
            <w:tcW w:w="1145" w:type="dxa"/>
            <w:tcBorders/>
            <w:vAlign w:val="center"/>
          </w:tcPr>
          <w:p>
            <w:pPr>
              <w:pStyle w:val="TableContents"/>
              <w:bidi w:val="0"/>
              <w:spacing w:before="0" w:after="283"/>
              <w:jc w:val="left"/>
              <w:rPr>
                <w:sz w:val="4"/>
                <w:szCs w:val="4"/>
              </w:rPr>
            </w:pPr>
            <w:r>
              <w:rPr>
                <w:sz w:val="4"/>
                <w:szCs w:val="4"/>
              </w:rPr>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940" w:type="dxa"/>
            <w:tcBorders/>
            <w:vAlign w:val="center"/>
          </w:tcPr>
          <w:p>
            <w:pPr>
              <w:pStyle w:val="TableContents"/>
              <w:bidi w:val="0"/>
              <w:spacing w:before="0" w:after="283"/>
              <w:jc w:val="left"/>
              <w:rPr/>
            </w:pPr>
            <w:r>
              <w:rPr/>
              <w:t>Cover Page Interactive Data File (the cover page XBRL tags are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926" w:type="dxa"/>
        <w:jc w:val="left"/>
        <w:tblInd w:w="0" w:type="dxa"/>
        <w:tblLayout w:type="fixed"/>
        <w:tblCellMar>
          <w:top w:w="0" w:type="dxa"/>
          <w:left w:w="0" w:type="dxa"/>
          <w:bottom w:w="0" w:type="dxa"/>
          <w:right w:w="0" w:type="dxa"/>
        </w:tblCellMar>
      </w:tblPr>
      <w:tblGrid>
        <w:gridCol w:w="1895"/>
        <w:gridCol w:w="60"/>
        <w:gridCol w:w="23"/>
        <w:gridCol w:w="60"/>
        <w:gridCol w:w="440"/>
        <w:gridCol w:w="72"/>
        <w:gridCol w:w="3376"/>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88" w:type="dxa"/>
            <w:gridSpan w:val="3"/>
            <w:tcBorders/>
            <w:vAlign w:val="center"/>
          </w:tcPr>
          <w:p>
            <w:pPr>
              <w:pStyle w:val="TableContents"/>
              <w:bidi w:val="0"/>
              <w:spacing w:before="0" w:after="283"/>
              <w:jc w:val="left"/>
              <w:rPr>
                <w:b/>
              </w:rPr>
            </w:pPr>
            <w:r>
              <w:rPr>
                <w:b/>
              </w:rPr>
              <w:t>ORIC PHARMACEUTICALS,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500" w:type="dxa"/>
            <w:gridSpan w:val="2"/>
            <w:tcBorders/>
            <w:vAlign w:val="center"/>
          </w:tcPr>
          <w:p>
            <w:pPr>
              <w:pStyle w:val="TableContents"/>
              <w:bidi w:val="0"/>
              <w:spacing w:before="0" w:after="283"/>
              <w:jc w:val="left"/>
              <w:rPr>
                <w:sz w:val="4"/>
                <w:szCs w:val="4"/>
              </w:rPr>
            </w:pPr>
            <w:r>
              <w:rPr>
                <w:sz w:val="4"/>
                <w:szCs w:val="4"/>
              </w:rPr>
            </w:r>
          </w:p>
        </w:tc>
        <w:tc>
          <w:tcPr>
            <w:tcW w:w="3448"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30,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By:</w:t>
            </w:r>
          </w:p>
        </w:tc>
        <w:tc>
          <w:tcPr>
            <w:tcW w:w="72" w:type="dxa"/>
            <w:tcBorders/>
            <w:vAlign w:val="center"/>
          </w:tcPr>
          <w:p>
            <w:pPr>
              <w:pStyle w:val="TableContents"/>
              <w:bidi w:val="0"/>
              <w:spacing w:before="0" w:after="283"/>
              <w:jc w:val="left"/>
              <w:rPr/>
            </w:pPr>
            <w:r>
              <w:rPr/>
              <w:t> </w:t>
            </w:r>
          </w:p>
        </w:tc>
        <w:tc>
          <w:tcPr>
            <w:tcW w:w="3376"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Christian Kuhlen</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Christian Kuhlen, M.D., J.D.</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pPr>
            <w:r>
              <w:rPr/>
              <w:t> </w:t>
            </w:r>
          </w:p>
        </w:tc>
        <w:tc>
          <w:tcPr>
            <w:tcW w:w="3376" w:type="dxa"/>
            <w:tcBorders/>
            <w:vAlign w:val="center"/>
          </w:tcPr>
          <w:p>
            <w:pPr>
              <w:pStyle w:val="TableContents"/>
              <w:bidi w:val="0"/>
              <w:spacing w:before="0" w:after="283"/>
              <w:jc w:val="left"/>
              <w:rPr/>
            </w:pPr>
            <w:r>
              <w:rPr/>
              <w:t>General Counsel</w:t>
            </w:r>
          </w:p>
        </w:tc>
      </w:tr>
    </w:tbl>
    <w:p>
      <w:pPr>
        <w:pStyle w:val="TextBody"/>
        <w:bidi w:val="0"/>
        <w:spacing w:before="0" w:after="0"/>
        <w:jc w:val="right"/>
        <w:rPr>
          <w:rFonts w:ascii="Times New Roman" w:hAnsi="Times New Roman"/>
          <w:b/>
          <w:sz w:val="20"/>
        </w:rPr>
      </w:pPr>
      <w:bookmarkStart w:id="2" w:name="d169933dex101.htm"/>
      <w:bookmarkStart w:id="3" w:name="ksd169933dex101"/>
      <w:bookmarkEnd w:id="2"/>
      <w:bookmarkEnd w:id="3"/>
      <w:r>
        <w:rPr>
          <w:rFonts w:ascii="Times New Roman" w:hAnsi="Times New Roman"/>
          <w:b/>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ORIC PHARMACEUTICALS, INC. </w:t>
      </w:r>
    </w:p>
    <w:p>
      <w:pPr>
        <w:pStyle w:val="TextBody"/>
        <w:bidi w:val="0"/>
        <w:spacing w:before="12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120" w:after="0"/>
        <w:jc w:val="center"/>
        <w:rPr>
          <w:rFonts w:ascii="Times New Roman" w:hAnsi="Times New Roman"/>
          <w:b/>
          <w:sz w:val="20"/>
        </w:rPr>
      </w:pPr>
      <w:r>
        <w:rPr>
          <w:rFonts w:ascii="Times New Roman" w:hAnsi="Times New Roman"/>
          <w:b/>
          <w:sz w:val="20"/>
        </w:rPr>
        <w:t xml:space="preserve">2022 INDUCEMENT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Purposes of the Plan</w:t>
      </w:r>
      <w:r>
        <w:rPr>
          <w:rFonts w:ascii="Times New Roman" w:hAnsi="Times New Roman"/>
          <w:sz w:val="20"/>
        </w:rPr>
        <w:t>. The purposes of this Plan are to attract and retain the best available personnel for positions of substantial responsibility by providing an inducement material to individuals entering into employment with the Company or any Parent or Subsidiary of the Company. The Plan permits the grant of Nonstatutory Stock Options, Restricted Stock, Restricted Stock Units, Stock Appreciation Rights, Performance Units and Performance Shares. Each Award under the Plan is intended to qualify as an employment inducement grant under Nasdaq Listing Rule 5635(c)(4) and the official regulations thereunder (together, the “</w:t>
      </w:r>
      <w:r>
        <w:rPr>
          <w:rFonts w:ascii="Times New Roman" w:hAnsi="Times New Roman"/>
          <w:sz w:val="20"/>
          <w:u w:val="single"/>
        </w:rPr>
        <w:t>Inducement Listing Rule</w:t>
      </w:r>
      <w:r>
        <w:rPr>
          <w:rFonts w:ascii="Times New Roman" w:hAnsi="Times New Roman"/>
          <w:sz w:val="20"/>
        </w:rPr>
        <w:t xml:space="preserve">”) or to qualify under the exception relating to plans or arrangements relating to an acquisition or merger under Nasdaq Listing Rule 5635(c)(3) and the official guidance thereunder.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Definitions</w:t>
      </w:r>
      <w:r>
        <w:rPr>
          <w:rFonts w:ascii="Times New Roman" w:hAnsi="Times New Roman"/>
          <w:sz w:val="20"/>
        </w:rPr>
        <w:t xml:space="preserve">. As used herein, the following definitions will apply: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Administrator</w:t>
      </w:r>
      <w:r>
        <w:rPr>
          <w:rFonts w:ascii="Times New Roman" w:hAnsi="Times New Roman"/>
          <w:sz w:val="20"/>
        </w:rPr>
        <w:t xml:space="preserve">” means the Board or any of its Committees as will be administering the Plan, in accordance with Section 4 of the Plan.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Applicable Laws</w:t>
      </w:r>
      <w:r>
        <w:rPr>
          <w:rFonts w:ascii="Times New Roman" w:hAnsi="Times New Roman"/>
          <w:sz w:val="20"/>
        </w:rPr>
        <w:t xml:space="preserve">” means the legal and regulatory requirements relating to the administration of equity-based awards, including without limitation the related issuance of shares of Common Stock, including without limitation under U.S. state corporate laws, U.S. federal and state securities laws, the Code, any stock exchange or quotation system on which the Common Stock is listed or quoted and the applicable laws of any non-U.S. country or jurisdiction where Awards are, or will be, granted under the Plan.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Award</w:t>
      </w:r>
      <w:r>
        <w:rPr>
          <w:rFonts w:ascii="Times New Roman" w:hAnsi="Times New Roman"/>
          <w:sz w:val="20"/>
        </w:rPr>
        <w:t xml:space="preserve">” means, individually or collectively, a grant under the Plan of Options, Stock Appreciation Rights, Restricted Stock, Restricted Stock Units, Performance Units or Performance Shares.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Award Agreement</w:t>
      </w:r>
      <w:r>
        <w:rPr>
          <w:rFonts w:ascii="Times New Roman" w:hAnsi="Times New Roman"/>
          <w:sz w:val="20"/>
        </w:rPr>
        <w:t xml:space="preserve">” means the written or electronic agreement between the Company and Participant setting forth the terms and provisions applicable to an Award granted under the Plan. The Award Agreement is subject to the terms and conditions of the Plan.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Change in Control</w:t>
      </w:r>
      <w:r>
        <w:rPr>
          <w:rFonts w:ascii="Times New Roman" w:hAnsi="Times New Roman"/>
          <w:sz w:val="20"/>
        </w:rPr>
        <w:t xml:space="preserve">” means the occurrence of any of the following events: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Change in Ownership of the Company</w:t>
      </w:r>
      <w:r>
        <w:rPr>
          <w:rFonts w:ascii="Times New Roman" w:hAnsi="Times New Roman"/>
          <w:sz w:val="20"/>
        </w:rPr>
        <w:t>. A change in the ownership of the Company which occurs on the date that any one person, or more than one person acting as a group (“</w:t>
      </w:r>
      <w:r>
        <w:rPr>
          <w:rFonts w:ascii="Times New Roman" w:hAnsi="Times New Roman"/>
          <w:sz w:val="20"/>
          <w:u w:val="single"/>
        </w:rPr>
        <w:t>Person</w:t>
      </w:r>
      <w:r>
        <w:rPr>
          <w:rFonts w:ascii="Times New Roman" w:hAnsi="Times New Roman"/>
          <w:sz w:val="20"/>
        </w:rPr>
        <w:t xml:space="preserve">”),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Change in Effective Control of the Company</w:t>
      </w:r>
      <w:r>
        <w:rPr>
          <w:rFonts w:ascii="Times New Roman" w:hAnsi="Times New Roman"/>
          <w:sz w:val="20"/>
        </w:rPr>
        <w:t xml:space="preserve">.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Change in Ownership of a Substantial Portion of the Company’s Assets</w:t>
      </w:r>
      <w:r>
        <w:rPr>
          <w:rFonts w:ascii="Times New Roman" w:hAnsi="Times New Roman"/>
          <w:sz w:val="20"/>
        </w:rPr>
        <w:t xml:space="preserve">. 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definition, persons will be considered to be acting as a group if they are owners of a corporation that enters into a merger, consolidation, purchase or acquisition of stock, or similar business transaction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transaction will not be deemed a Change in Control unless the transaction qualifies as a change in control event within the meaning of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Further and for the avoidance of doubt,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Code</w:t>
      </w:r>
      <w:r>
        <w:rPr>
          <w:rFonts w:ascii="Times New Roman" w:hAnsi="Times New Roman"/>
          <w:sz w:val="20"/>
        </w:rPr>
        <w:t xml:space="preserve">” means the Internal Revenue Code of 1986, as amended. Any reference to a section of the Code or regulation thereunder will include such section or regulation, any valid regulation or other official guidance promulgated under such section, and any comparable provision of any future legislation or regulation amending, supplementing, or superseding such section or regulation.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Committee</w:t>
      </w:r>
      <w:r>
        <w:rPr>
          <w:rFonts w:ascii="Times New Roman" w:hAnsi="Times New Roman"/>
          <w:sz w:val="20"/>
        </w:rPr>
        <w:t xml:space="preserve">” means a committee of Directors or of other individuals satisfying Applicable Laws appointed by the Board, or a duly authorized committee of the Board, in accordance with Section 4 hereof.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Company</w:t>
      </w:r>
      <w:r>
        <w:rPr>
          <w:rFonts w:ascii="Times New Roman" w:hAnsi="Times New Roman"/>
          <w:sz w:val="20"/>
        </w:rPr>
        <w:t xml:space="preserve">” means ORIC Pharmaceuticals, Inc., a Delaware corporation, or any successor thereto.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Consultant</w:t>
      </w:r>
      <w:r>
        <w:rPr>
          <w:rFonts w:ascii="Times New Roman" w:hAnsi="Times New Roman"/>
          <w:sz w:val="20"/>
        </w:rPr>
        <w:t xml:space="preserve">” means any natural person, including an advisor, engaged by the Company or a Parent or Subsidiary of the Company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sz w:val="20"/>
          <w:u w:val="single"/>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sz w:val="20"/>
          <w:u w:val="single"/>
        </w:rPr>
        <w:t>Disability</w:t>
      </w:r>
      <w:r>
        <w:rPr>
          <w:rFonts w:ascii="Times New Roman" w:hAnsi="Times New Roman"/>
          <w:sz w:val="20"/>
        </w:rPr>
        <w:t xml:space="preserve">” means total and permanent disability, as determined by the Administrator in its discretion in accordance with uniform and non-discriminatory standards adopted by the Administrator from time to time.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sz w:val="20"/>
          <w:u w:val="single"/>
        </w:rPr>
        <w:t>Employee</w:t>
      </w:r>
      <w:r>
        <w:rPr>
          <w:rFonts w:ascii="Times New Roman" w:hAnsi="Times New Roman"/>
          <w:sz w:val="20"/>
        </w:rPr>
        <w:t xml:space="preserve">” means any person, including Officers and Directors, employed by the Company or any Parent or Subsidiary of the Company. Neither service as a Director nor payment of a director’s fee by the Company will be sufficient to constitute “employment” by the Company. However, for the avoidance of doubt, although a person who is an Employee also may be a Director, a person who already is serving as a Director prior to becoming an Employee will not be eligible to be granted an Award under the Plan unless permitted under the Inducement Listing Rule.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Plan as of the time of the Company’s determination, all such determinations by the Company shall be final, binding and conclusive, notwithstanding that the Company or any court of law or governmental agency subsequently makes a contrary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 “</w:t>
      </w:r>
      <w:r>
        <w:rPr>
          <w:rFonts w:ascii="Times New Roman" w:hAnsi="Times New Roman"/>
          <w:sz w:val="20"/>
          <w:u w:val="single"/>
        </w:rPr>
        <w:t>Exchange Act</w:t>
      </w:r>
      <w:r>
        <w:rPr>
          <w:rFonts w:ascii="Times New Roman" w:hAnsi="Times New Roman"/>
          <w:sz w:val="20"/>
        </w:rPr>
        <w:t xml:space="preserve">” means the Securities Exchange Act of 1934, as amended.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sz w:val="20"/>
          <w:u w:val="single"/>
        </w:rPr>
        <w:t>Exchange Program</w:t>
      </w:r>
      <w:r>
        <w:rPr>
          <w:rFonts w:ascii="Times New Roman" w:hAnsi="Times New Roman"/>
          <w:sz w:val="20"/>
        </w:rPr>
        <w:t xml:space="preserve">”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sz w:val="20"/>
          <w:u w:val="single"/>
        </w:rPr>
        <w:t>Fair Market Value</w:t>
      </w:r>
      <w:r>
        <w:rPr>
          <w:rFonts w:ascii="Times New Roman" w:hAnsi="Times New Roman"/>
          <w:sz w:val="20"/>
        </w:rPr>
        <w:t xml:space="preserve">” means, as of any date, the value of Common Stock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day of determination, as reported in </w:t>
      </w:r>
      <w:r>
        <w:rPr>
          <w:rFonts w:ascii="Times New Roman" w:hAnsi="Times New Roman"/>
          <w:i/>
          <w:sz w:val="20"/>
        </w:rPr>
        <w:t>The Wall Street Journal</w:t>
      </w:r>
      <w:r>
        <w:rPr>
          <w:rFonts w:ascii="Times New Roman" w:hAnsi="Times New Roman"/>
          <w:sz w:val="20"/>
        </w:rPr>
        <w:t xml:space="preserve"> or such other source as the Administrator deems reliable; </w:t>
      </w:r>
    </w:p>
    <w:p>
      <w:pPr>
        <w:pStyle w:val="TextBody"/>
        <w:bidi w:val="0"/>
        <w:spacing w:before="240" w:after="0"/>
        <w:jc w:val="left"/>
        <w:rPr>
          <w:rFonts w:ascii="Times New Roman" w:hAnsi="Times New Roman"/>
          <w:sz w:val="20"/>
        </w:rPr>
      </w:pPr>
      <w:r>
        <w:rPr>
          <w:rFonts w:ascii="Times New Roman" w:hAnsi="Times New Roman"/>
          <w:sz w:val="20"/>
        </w:rPr>
        <w:t xml:space="preserve">(ii) 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hAnsi="Times New Roman"/>
          <w:i/>
          <w:sz w:val="20"/>
        </w:rPr>
        <w:t>The Wall Street Journal</w:t>
      </w:r>
      <w:r>
        <w:rPr>
          <w:rFonts w:ascii="Times New Roman" w:hAnsi="Times New Roman"/>
          <w:sz w:val="20"/>
        </w:rPr>
        <w:t xml:space="preserve"> or such other source as the Administrator deems reliable; or </w:t>
      </w:r>
    </w:p>
    <w:p>
      <w:pPr>
        <w:pStyle w:val="TextBody"/>
        <w:bidi w:val="0"/>
        <w:spacing w:before="240" w:after="0"/>
        <w:jc w:val="left"/>
        <w:rPr>
          <w:rFonts w:ascii="Times New Roman" w:hAnsi="Times New Roman"/>
          <w:sz w:val="20"/>
        </w:rPr>
      </w:pPr>
      <w:r>
        <w:rPr>
          <w:rFonts w:ascii="Times New Roman" w:hAnsi="Times New Roman"/>
          <w:sz w:val="20"/>
        </w:rPr>
        <w:t xml:space="preserve">(iii) In the absence of an established market for the Common Stock, the Fair Market Value will be determined in good faith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determination of fair market value for purposes of tax withholding may be made in the Administrator’s discretion subject to Applicable Laws and is not required to be consistent with the determination of Fair Market Value for other purposes.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sz w:val="20"/>
          <w:u w:val="single"/>
        </w:rPr>
        <w:t>Fiscal Year</w:t>
      </w:r>
      <w:r>
        <w:rPr>
          <w:rFonts w:ascii="Times New Roman" w:hAnsi="Times New Roman"/>
          <w:sz w:val="20"/>
        </w:rPr>
        <w:t xml:space="preserve">” means the fiscal year of the Company.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sz w:val="20"/>
          <w:u w:val="single"/>
        </w:rPr>
        <w:t>Incentive Stock Option</w:t>
      </w:r>
      <w:r>
        <w:rPr>
          <w:rFonts w:ascii="Times New Roman" w:hAnsi="Times New Roman"/>
          <w:sz w:val="20"/>
        </w:rPr>
        <w:t xml:space="preserve">” means an Option intended to qualify, and actually qualifies, as an incentive stock option within the meaning of Section 422 of the Code and the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sz w:val="20"/>
          <w:u w:val="single"/>
        </w:rPr>
        <w:t>Nonstatutory Stock Option</w:t>
      </w:r>
      <w:r>
        <w:rPr>
          <w:rFonts w:ascii="Times New Roman" w:hAnsi="Times New Roman"/>
          <w:sz w:val="20"/>
        </w:rPr>
        <w:t xml:space="preserve">” means an Option that by its terms does not qualify or is not intended to qualify as an Incentive Stock Option.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sz w:val="20"/>
          <w:u w:val="single"/>
        </w:rPr>
        <w:t>Officer</w:t>
      </w:r>
      <w:r>
        <w:rPr>
          <w:rFonts w:ascii="Times New Roman" w:hAnsi="Times New Roman"/>
          <w:sz w:val="20"/>
        </w:rPr>
        <w:t xml:space="preserve">” means a person who is an officer of the Company within the meaning of Section 16 of the Exchange Act and the rules and regulations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 “</w:t>
      </w:r>
      <w:r>
        <w:rPr>
          <w:rFonts w:ascii="Times New Roman" w:hAnsi="Times New Roman"/>
          <w:sz w:val="20"/>
          <w:u w:val="single"/>
        </w:rPr>
        <w:t>Option</w:t>
      </w:r>
      <w:r>
        <w:rPr>
          <w:rFonts w:ascii="Times New Roman" w:hAnsi="Times New Roman"/>
          <w:sz w:val="20"/>
        </w:rPr>
        <w:t xml:space="preserve">” means a stock option granted pursuant to the Plan, provided that all Options granted under the Plan will be Nonstatutory Stock Options.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sz w:val="20"/>
          <w:u w:val="single"/>
        </w:rPr>
        <w:t>Parent</w:t>
      </w:r>
      <w:r>
        <w:rPr>
          <w:rFonts w:ascii="Times New Roman" w:hAnsi="Times New Roman"/>
          <w:sz w:val="20"/>
        </w:rPr>
        <w:t xml:space="preserve">” means a “parent corporation,” whether now or hereafter existing, as defined in Code Section 424(e).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sz w:val="20"/>
          <w:u w:val="single"/>
        </w:rPr>
        <w:t>Participant</w:t>
      </w:r>
      <w:r>
        <w:rPr>
          <w:rFonts w:ascii="Times New Roman" w:hAnsi="Times New Roman"/>
          <w:sz w:val="20"/>
        </w:rPr>
        <w:t xml:space="preserve">” means the holder of an outstanding Award.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sz w:val="20"/>
          <w:u w:val="single"/>
        </w:rPr>
        <w:t>Performance Share</w:t>
      </w:r>
      <w:r>
        <w:rPr>
          <w:rFonts w:ascii="Times New Roman" w:hAnsi="Times New Roman"/>
          <w:sz w:val="20"/>
        </w:rPr>
        <w:t xml:space="preserve">” means an Award denominated in Shares which may be earned in whole or in part upon attainment of performance goals or other vesting criteria as the Administrator may determine pursuant to Section 10.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sz w:val="20"/>
          <w:u w:val="single"/>
        </w:rPr>
        <w:t>Performance Award</w:t>
      </w:r>
      <w:r>
        <w:rPr>
          <w:rFonts w:ascii="Times New Roman" w:hAnsi="Times New Roman"/>
          <w:sz w:val="20"/>
        </w:rPr>
        <w:t xml:space="preserve">” means an Award denominated in Shares or cash, which may be earned in whole or in part upon attainment of performance goals or other vesting criteria as the Administrator may determine and which may be settled for cash, Shares or other securities or a combination of the foregoing pursuant to Section 10.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Period of Restriction</w:t>
      </w:r>
      <w:r>
        <w:rPr>
          <w:rFonts w:ascii="Times New Roman" w:hAnsi="Times New Roman"/>
          <w:sz w:val="20"/>
        </w:rPr>
        <w:t xml:space="preserve">”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Plan</w:t>
      </w:r>
      <w:r>
        <w:rPr>
          <w:rFonts w:ascii="Times New Roman" w:hAnsi="Times New Roman"/>
          <w:sz w:val="20"/>
        </w:rPr>
        <w:t xml:space="preserve">” means this ORIC Pharmaceuticals, Inc. 2022 Inducement Equity Incentive Plan.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Restricted Stock</w:t>
      </w:r>
      <w:r>
        <w:rPr>
          <w:rFonts w:ascii="Times New Roman" w:hAnsi="Times New Roman"/>
          <w:sz w:val="20"/>
        </w:rPr>
        <w:t xml:space="preserve">” means Shares issued pursuant to a Restricted Stock award under Section 7 of the Plan, or issued pursuant to the early exercise of an Option.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Restricted Stock Unit</w:t>
      </w:r>
      <w:r>
        <w:rPr>
          <w:rFonts w:ascii="Times New Roman" w:hAnsi="Times New Roman"/>
          <w:sz w:val="20"/>
        </w:rPr>
        <w:t xml:space="preserve">” means a bookkeeping entry representing an amount equal to the Fair Market Value of one Share, granted pursuant to Section 8. Each Restricted Stock Unit represents an unfunded and unsecured obligation of the Company.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Rule 16b-3</w:t>
      </w:r>
      <w:r>
        <w:rPr>
          <w:rFonts w:ascii="Times New Roman" w:hAnsi="Times New Roman"/>
          <w:sz w:val="20"/>
        </w:rPr>
        <w:t xml:space="preserve">” means Rule 16b-3 of the Exchange Act or any successor to Rule 16b-3, as in effect when discretion is being exercised with respect to the Plan. </w:t>
      </w:r>
    </w:p>
    <w:p>
      <w:pPr>
        <w:pStyle w:val="TextBody"/>
        <w:bidi w:val="0"/>
        <w:spacing w:before="24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Section 16(b)</w:t>
      </w:r>
      <w:r>
        <w:rPr>
          <w:rFonts w:ascii="Times New Roman" w:hAnsi="Times New Roman"/>
          <w:sz w:val="20"/>
        </w:rPr>
        <w:t xml:space="preserve">” means Section 16(b) of the Exchange Act.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Section 409A</w:t>
      </w:r>
      <w:r>
        <w:rPr>
          <w:rFonts w:ascii="Times New Roman" w:hAnsi="Times New Roman"/>
          <w:sz w:val="20"/>
        </w:rPr>
        <w:t xml:space="preserve">” means Section 409A of the Code, as it has been and may be amended from time to time, and any proposed or final Treasury Regulations and Internal Revenue Service guidance that has been promulgated or may be promulgated thereunder from time to time, or any state law equivalent.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Securities Act</w:t>
      </w:r>
      <w:r>
        <w:rPr>
          <w:rFonts w:ascii="Times New Roman" w:hAnsi="Times New Roman"/>
          <w:sz w:val="20"/>
        </w:rPr>
        <w:t xml:space="preserve">” means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Service Provider</w:t>
      </w:r>
      <w:r>
        <w:rPr>
          <w:rFonts w:ascii="Times New Roman" w:hAnsi="Times New Roman"/>
          <w:sz w:val="20"/>
        </w:rPr>
        <w:t xml:space="preserve">” means an Employee, Director or Consultant.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(jj) “</w:t>
      </w:r>
      <w:r>
        <w:rPr>
          <w:rFonts w:ascii="Times New Roman" w:hAnsi="Times New Roman"/>
          <w:sz w:val="20"/>
          <w:u w:val="single"/>
        </w:rPr>
        <w:t>Share</w:t>
      </w:r>
      <w:r>
        <w:rPr>
          <w:rFonts w:ascii="Times New Roman" w:hAnsi="Times New Roman"/>
          <w:sz w:val="20"/>
        </w:rPr>
        <w:t xml:space="preserve">” means a share of the Common Stock, as adjusted in accordance with Section 13 of the Plan. </w:t>
      </w:r>
    </w:p>
    <w:p>
      <w:pPr>
        <w:pStyle w:val="TextBody"/>
        <w:bidi w:val="0"/>
        <w:spacing w:before="240" w:after="0"/>
        <w:jc w:val="left"/>
        <w:rPr>
          <w:rFonts w:ascii="Times New Roman" w:hAnsi="Times New Roman"/>
          <w:sz w:val="20"/>
        </w:rPr>
      </w:pPr>
      <w:r>
        <w:rPr>
          <w:rFonts w:ascii="Times New Roman" w:hAnsi="Times New Roman"/>
          <w:sz w:val="20"/>
        </w:rPr>
        <w:t>(kk) “</w:t>
      </w:r>
      <w:r>
        <w:rPr>
          <w:rFonts w:ascii="Times New Roman" w:hAnsi="Times New Roman"/>
          <w:sz w:val="20"/>
          <w:u w:val="single"/>
        </w:rPr>
        <w:t>Stock Appreciation Right</w:t>
      </w:r>
      <w:r>
        <w:rPr>
          <w:rFonts w:ascii="Times New Roman" w:hAnsi="Times New Roman"/>
          <w:sz w:val="20"/>
        </w:rPr>
        <w:t xml:space="preserve">” means an Award, granted alone or in connection with an Option, that pursuant to Section 9 is designated as a Stock Appreciation Right. </w:t>
      </w:r>
    </w:p>
    <w:p>
      <w:pPr>
        <w:pStyle w:val="TextBody"/>
        <w:bidi w:val="0"/>
        <w:spacing w:before="240" w:after="0"/>
        <w:jc w:val="left"/>
        <w:rPr>
          <w:rFonts w:ascii="Times New Roman" w:hAnsi="Times New Roman"/>
          <w:sz w:val="20"/>
        </w:rPr>
      </w:pPr>
      <w:r>
        <w:rPr>
          <w:rFonts w:ascii="Times New Roman" w:hAnsi="Times New Roman"/>
          <w:sz w:val="20"/>
        </w:rPr>
        <w:t>(ll) “</w:t>
      </w:r>
      <w:r>
        <w:rPr>
          <w:rFonts w:ascii="Times New Roman" w:hAnsi="Times New Roman"/>
          <w:sz w:val="20"/>
          <w:u w:val="single"/>
        </w:rPr>
        <w:t>Subsidiary</w:t>
      </w:r>
      <w:r>
        <w:rPr>
          <w:rFonts w:ascii="Times New Roman" w:hAnsi="Times New Roman"/>
          <w:sz w:val="20"/>
        </w:rPr>
        <w:t xml:space="preserve">” means a “subsidiary corporation,” whether now or hereafter existing, as defined in Code Section 424(f). </w:t>
      </w:r>
    </w:p>
    <w:p>
      <w:pPr>
        <w:pStyle w:val="TextBody"/>
        <w:bidi w:val="0"/>
        <w:spacing w:before="240" w:after="0"/>
        <w:jc w:val="left"/>
        <w:rPr>
          <w:rFonts w:ascii="Times New Roman" w:hAnsi="Times New Roman"/>
          <w:sz w:val="20"/>
        </w:rPr>
      </w:pPr>
      <w:r>
        <w:rPr>
          <w:rFonts w:ascii="Times New Roman" w:hAnsi="Times New Roman"/>
          <w:sz w:val="20"/>
        </w:rPr>
        <w:t>(mm) “</w:t>
      </w:r>
      <w:r>
        <w:rPr>
          <w:rFonts w:ascii="Times New Roman" w:hAnsi="Times New Roman"/>
          <w:sz w:val="20"/>
          <w:u w:val="single"/>
        </w:rPr>
        <w:t>Trading Day</w:t>
      </w:r>
      <w:r>
        <w:rPr>
          <w:rFonts w:ascii="Times New Roman" w:hAnsi="Times New Roman"/>
          <w:sz w:val="20"/>
        </w:rPr>
        <w:t xml:space="preserve">” means a day that the primary stock exchange, national market system, or other trading platform, as applicable, upon which the Common Stock is listed is open for trading.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Stock Subject to the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Subject to the Plan</w:t>
      </w:r>
      <w:r>
        <w:rPr>
          <w:rFonts w:ascii="Times New Roman" w:hAnsi="Times New Roman"/>
          <w:sz w:val="20"/>
        </w:rPr>
        <w:t xml:space="preserve">. Subject to the provisions of Section 13 of the Plan, the maximum aggregate number of Shares that may be issued under the Plan is 3,350,000 Shares. In addition, Shares may become available for issuance under the Plan pursuant to Sections 3(b). The Shares may be authorized, but unissued, or reacquired Common Stock.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Lapsed Awards</w:t>
      </w:r>
      <w:r>
        <w:rPr>
          <w:rFonts w:ascii="Times New Roman" w:hAnsi="Times New Roman"/>
          <w:sz w:val="20"/>
        </w:rPr>
        <w:t xml:space="preserve">.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then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due to failure to vest,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the cash payment will not result in reducing the number of Shares available for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Share Reserve</w:t>
      </w:r>
      <w:r>
        <w:rPr>
          <w:rFonts w:ascii="Times New Roman" w:hAnsi="Times New Roman"/>
          <w:sz w:val="20"/>
        </w:rPr>
        <w:t xml:space="preserve">. The Company, at all times during the term of this Plan, will reserve and keep available such number of Shares as will be sufficient to satisfy the requirements of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Administration of the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Procedure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Multiple Administrative Bodies</w:t>
      </w:r>
      <w:r>
        <w:rPr>
          <w:rFonts w:ascii="Times New Roman" w:hAnsi="Times New Roman"/>
          <w:sz w:val="20"/>
        </w:rPr>
        <w:t xml:space="preserve">. Different Committees with respect to different Employees or Participants may administer the Plan.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Rule 16b-3</w:t>
      </w:r>
      <w:r>
        <w:rPr>
          <w:rFonts w:ascii="Times New Roman" w:hAnsi="Times New Roman"/>
          <w:sz w:val="20"/>
        </w:rPr>
        <w:t xml:space="preserve">. To the extent desirable to qualify transactions hereunder as exempt under Rule 16b-3, the transactions contemplated hereunder will be structured to satisfy the requirements for exemption under Rule 16b-3.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Other Administration</w:t>
      </w:r>
      <w:r>
        <w:rPr>
          <w:rFonts w:ascii="Times New Roman" w:hAnsi="Times New Roman"/>
          <w:sz w:val="20"/>
        </w:rPr>
        <w:t xml:space="preserve">. Other than as provided above, the Plan will be administered by (A) the Board or (B) a Committee, which committee will be constituted to satisfy Applicable Laws. Until and unless determined otherwise by the Board, the Compensation Committee of the Board will have full authority to act as Administrator.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Approva</w:t>
      </w:r>
      <w:r>
        <w:rPr>
          <w:rFonts w:ascii="Times New Roman" w:hAnsi="Times New Roman"/>
          <w:sz w:val="20"/>
        </w:rPr>
        <w:t xml:space="preserve">l. Awards granted under the Plan must be approved by a majority of the Company’s “Independent Directors” (as defined under the Nasdaq Listing Rules) or the Compensation Committee of the Board, in each case acting as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Powers of the Administrator</w:t>
      </w:r>
      <w:r>
        <w:rPr>
          <w:rFonts w:ascii="Times New Roman" w:hAnsi="Times New Roman"/>
          <w:sz w:val="20"/>
        </w:rPr>
        <w:t xml:space="preserve">. Subject to the provisions of the Plan, and in the case of a Committee, the specific duties delegated by the Board to such Committee, the Administrator will have the authority, in its discretion, to: </w:t>
      </w:r>
    </w:p>
    <w:p>
      <w:pPr>
        <w:pStyle w:val="TextBody"/>
        <w:bidi w:val="0"/>
        <w:spacing w:before="120" w:after="0"/>
        <w:jc w:val="left"/>
        <w:rPr>
          <w:rFonts w:ascii="Times New Roman" w:hAnsi="Times New Roman"/>
          <w:sz w:val="20"/>
        </w:rPr>
      </w:pPr>
      <w:r>
        <w:rPr>
          <w:rFonts w:ascii="Times New Roman" w:hAnsi="Times New Roman"/>
          <w:sz w:val="20"/>
        </w:rPr>
        <w:t xml:space="preserve">(i) determine the Fair Market Value; </w:t>
      </w:r>
    </w:p>
    <w:p>
      <w:pPr>
        <w:pStyle w:val="TextBody"/>
        <w:bidi w:val="0"/>
        <w:spacing w:before="240" w:after="0"/>
        <w:jc w:val="left"/>
        <w:rPr>
          <w:rFonts w:ascii="Times New Roman" w:hAnsi="Times New Roman"/>
          <w:sz w:val="20"/>
        </w:rPr>
      </w:pPr>
      <w:r>
        <w:rPr>
          <w:rFonts w:ascii="Times New Roman" w:hAnsi="Times New Roman"/>
          <w:sz w:val="20"/>
        </w:rPr>
        <w:t xml:space="preserve">(ii) select the individuals to whom Awards may be granted hereunder, subject to Section 5 (which Awards will be intended as a material inducement to the individual becoming an Employee or to otherwise be permitted under Nasdaq Listing Rule 5635(c) and the official guidance thereunder); </w:t>
      </w:r>
    </w:p>
    <w:p>
      <w:pPr>
        <w:pStyle w:val="TextBody"/>
        <w:bidi w:val="0"/>
        <w:spacing w:before="240" w:after="0"/>
        <w:jc w:val="left"/>
        <w:rPr>
          <w:rFonts w:ascii="Times New Roman" w:hAnsi="Times New Roman"/>
          <w:sz w:val="20"/>
        </w:rPr>
      </w:pPr>
      <w:r>
        <w:rPr>
          <w:rFonts w:ascii="Times New Roman" w:hAnsi="Times New Roman"/>
          <w:sz w:val="20"/>
        </w:rPr>
        <w:t xml:space="preserve">(iii) determine the number of Shares to be covered by each Award granted hereunder; </w:t>
      </w:r>
    </w:p>
    <w:p>
      <w:pPr>
        <w:pStyle w:val="TextBody"/>
        <w:bidi w:val="0"/>
        <w:spacing w:before="240" w:after="0"/>
        <w:jc w:val="left"/>
        <w:rPr>
          <w:rFonts w:ascii="Times New Roman" w:hAnsi="Times New Roman"/>
          <w:sz w:val="20"/>
        </w:rPr>
      </w:pPr>
      <w:r>
        <w:rPr>
          <w:rFonts w:ascii="Times New Roman" w:hAnsi="Times New Roman"/>
          <w:sz w:val="20"/>
        </w:rPr>
        <w:t xml:space="preserve">(iv) approve forms of Award Agreement for use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(v) determine the terms and conditions, not inconsistent with the terms of the Plan, of any Award granted hereunder. The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 </w:t>
      </w:r>
    </w:p>
    <w:p>
      <w:pPr>
        <w:pStyle w:val="TextBody"/>
        <w:bidi w:val="0"/>
        <w:spacing w:before="240" w:after="0"/>
        <w:jc w:val="left"/>
        <w:rPr>
          <w:rFonts w:ascii="Times New Roman" w:hAnsi="Times New Roman"/>
          <w:sz w:val="20"/>
        </w:rPr>
      </w:pPr>
      <w:r>
        <w:rPr>
          <w:rFonts w:ascii="Times New Roman" w:hAnsi="Times New Roman"/>
          <w:sz w:val="20"/>
        </w:rPr>
        <w:t xml:space="preserve">(vi) institute and determine the terms and conditions of an Exchange Program; provided however, that no Exchange Program may be implemented without prior approval from the Company’s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 prescribe, amend and rescind rules and regulations relating to the Plan, including rules and regulations relating to sub-plans established for the purpose of satisfying applicable non-U.S. laws or for qualifying for favorable tax treatment under applicable non-U.S. laws; </w:t>
      </w:r>
    </w:p>
    <w:p>
      <w:pPr>
        <w:pStyle w:val="TextBody"/>
        <w:bidi w:val="0"/>
        <w:spacing w:before="240" w:after="0"/>
        <w:jc w:val="left"/>
        <w:rPr>
          <w:rFonts w:ascii="Times New Roman" w:hAnsi="Times New Roman"/>
          <w:sz w:val="20"/>
        </w:rPr>
      </w:pPr>
      <w:r>
        <w:rPr>
          <w:rFonts w:ascii="Times New Roman" w:hAnsi="Times New Roman"/>
          <w:sz w:val="20"/>
        </w:rPr>
        <w:t xml:space="preserve">(viii) construe and interpret the terms of the Plan and Awards granted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(ix) modify or amend each Award (subject to Section 18(c) of the Plan), including without limitation the discretionary authority to extend the post-termination exercisability period of Awards; provided, however, that in no event will the term of an Option or Stock Appreciation Right be extended beyond its original maximum term; </w:t>
      </w:r>
    </w:p>
    <w:p>
      <w:pPr>
        <w:pStyle w:val="TextBody"/>
        <w:bidi w:val="0"/>
        <w:spacing w:before="240" w:after="0"/>
        <w:jc w:val="left"/>
        <w:rPr>
          <w:rFonts w:ascii="Times New Roman" w:hAnsi="Times New Roman"/>
          <w:sz w:val="20"/>
        </w:rPr>
      </w:pPr>
      <w:r>
        <w:rPr>
          <w:rFonts w:ascii="Times New Roman" w:hAnsi="Times New Roman"/>
          <w:sz w:val="20"/>
        </w:rPr>
        <w:t xml:space="preserve">(x) allow Participants to satisfy tax withholding obligations in a manner prescribed in Section 14 of the Plan; </w:t>
      </w:r>
    </w:p>
    <w:p>
      <w:pPr>
        <w:pStyle w:val="TextBody"/>
        <w:bidi w:val="0"/>
        <w:spacing w:before="240" w:after="0"/>
        <w:jc w:val="left"/>
        <w:rPr>
          <w:rFonts w:ascii="Times New Roman" w:hAnsi="Times New Roman"/>
          <w:sz w:val="20"/>
        </w:rPr>
      </w:pPr>
      <w:r>
        <w:rPr>
          <w:rFonts w:ascii="Times New Roman" w:hAnsi="Times New Roman"/>
          <w:sz w:val="20"/>
        </w:rPr>
        <w:t xml:space="preserve">(xi) authorize any person to execute on behalf of the Company any instrument required to effect the grant of an Award previously granted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(xii) temporarily suspend the exercisability of an Award if the Administrator deems such suspension to be necessary or appropriate for administrative purposes; </w:t>
      </w:r>
    </w:p>
    <w:p>
      <w:pPr>
        <w:pStyle w:val="TextBody"/>
        <w:bidi w:val="0"/>
        <w:spacing w:before="240" w:after="0"/>
        <w:jc w:val="left"/>
        <w:rPr>
          <w:rFonts w:ascii="Times New Roman" w:hAnsi="Times New Roman"/>
          <w:sz w:val="20"/>
        </w:rPr>
      </w:pPr>
      <w:r>
        <w:rPr>
          <w:rFonts w:ascii="Times New Roman" w:hAnsi="Times New Roman"/>
          <w:sz w:val="20"/>
        </w:rPr>
        <w:t xml:space="preserve">(xiii) allow a Participant to defer the receipt of the payment of cash or the delivery of Shares that otherwise would be due to the Participant under an Award; and </w:t>
      </w:r>
    </w:p>
    <w:p>
      <w:pPr>
        <w:pStyle w:val="TextBody"/>
        <w:bidi w:val="0"/>
        <w:spacing w:before="240" w:after="0"/>
        <w:jc w:val="left"/>
        <w:rPr>
          <w:rFonts w:ascii="Times New Roman" w:hAnsi="Times New Roman"/>
          <w:sz w:val="20"/>
        </w:rPr>
      </w:pPr>
      <w:r>
        <w:rPr>
          <w:rFonts w:ascii="Times New Roman" w:hAnsi="Times New Roman"/>
          <w:sz w:val="20"/>
        </w:rPr>
        <w:t xml:space="preserve">(xiv) make all other determinations deemed necessary or advisable for administering the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Effect of Administrator’s Decision</w:t>
      </w:r>
      <w:r>
        <w:rPr>
          <w:rFonts w:ascii="Times New Roman" w:hAnsi="Times New Roman"/>
          <w:sz w:val="20"/>
        </w:rPr>
        <w:t xml:space="preserve">. The Administrator’s decisions, determinations and interpretations will be final and binding on all Participants and any other holders of Awards and will be given the maximum deference permitted by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Eligibility</w:t>
      </w:r>
      <w:r>
        <w:rPr>
          <w:rFonts w:ascii="Times New Roman" w:hAnsi="Times New Roman"/>
          <w:sz w:val="20"/>
        </w:rPr>
        <w:t xml:space="preserve">. Nonstatutory Stock Options, Stock Appreciation Rights, Restricted Stock, Restricted Stock Units, Performance Shares and Performance Units may be granted to Employees, so long as the following requirements are met: </w:t>
      </w:r>
    </w:p>
    <w:p>
      <w:pPr>
        <w:pStyle w:val="TextBody"/>
        <w:bidi w:val="0"/>
        <w:spacing w:before="120" w:after="0"/>
        <w:jc w:val="left"/>
        <w:rPr>
          <w:rFonts w:ascii="Times New Roman" w:hAnsi="Times New Roman"/>
          <w:sz w:val="20"/>
        </w:rPr>
      </w:pPr>
      <w:r>
        <w:rPr>
          <w:rFonts w:ascii="Times New Roman" w:hAnsi="Times New Roman"/>
          <w:sz w:val="20"/>
        </w:rPr>
        <w:t xml:space="preserve">(a) The Employee was not previously an Employee or Director, or the Employee is returning to employment of the Company following a bona-fide period of non-employment; and </w:t>
      </w:r>
    </w:p>
    <w:p>
      <w:pPr>
        <w:pStyle w:val="TextBody"/>
        <w:bidi w:val="0"/>
        <w:spacing w:before="240" w:after="0"/>
        <w:jc w:val="left"/>
        <w:rPr>
          <w:rFonts w:ascii="Times New Roman" w:hAnsi="Times New Roman"/>
          <w:sz w:val="20"/>
        </w:rPr>
      </w:pPr>
      <w:r>
        <w:rPr>
          <w:rFonts w:ascii="Times New Roman" w:hAnsi="Times New Roman"/>
          <w:sz w:val="20"/>
        </w:rPr>
        <w:t xml:space="preserve">(b) The grant of an Award is an inducement material to the Employee’s entering into employment with the Company in accordance with the Inducement Listing Rule.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 Employee may be granted an Award in connection with a merger or acquisition to the extent permitted by Nasdaq Listing Rule 5635(c)(3) and the official guidance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Stock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Grant of Options</w:t>
      </w:r>
      <w:r>
        <w:rPr>
          <w:rFonts w:ascii="Times New Roman" w:hAnsi="Times New Roman"/>
          <w:sz w:val="20"/>
        </w:rPr>
        <w:t xml:space="preserve">. The Administrator, in its sole discretion and subject to the terms and conditions of the Plan, may grant Options to any individual as a material inducement to the individual becoming an Employee or as otherwise permitted under Section 5 in connection with a merger or acquisition, in each case, which grant shall become effective only if the individual actually becomes an Employee. Subject to this Section 6 and the other terms and conditions of the Plan, the Administrator will have complete discretion to determine the number of Shares covered by an Option granted to any Employee. Each Option shall be evidenced by an Award Agreement (which may be in electronic form) that shall specify the exercise price, the expiration date of the Option, the number of Shares covered by the Option, any conditions to exercise the Option, and such other terms and conditions as the Administrator, in its discretion, shall determine.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Stock Option Agreement</w:t>
      </w:r>
      <w:r>
        <w:rPr>
          <w:rFonts w:ascii="Times New Roman" w:hAnsi="Times New Roman"/>
          <w:sz w:val="20"/>
        </w:rPr>
        <w:t>. Each Award of an Option will be evidenced by an Award Agreement that will specify the exercise price, the number of Shares subject to the Option, the exercise restrictions, if any, applicable to the Option, and such other terms and conditions as the Administrator, in its sole discretion, will determine.</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Term of Option</w:t>
      </w:r>
      <w:r>
        <w:rPr>
          <w:rFonts w:ascii="Times New Roman" w:hAnsi="Times New Roman"/>
          <w:sz w:val="20"/>
        </w:rPr>
        <w:t xml:space="preserve">. The term of each Option will be stated in the Award Agreement, provided, however, that the term will be no more than ten (10) years from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Option Exercise Price and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Exercise Price</w:t>
      </w:r>
      <w:r>
        <w:rPr>
          <w:rFonts w:ascii="Times New Roman" w:hAnsi="Times New Roman"/>
          <w:sz w:val="20"/>
        </w:rPr>
        <w:t xml:space="preserve">. The per share exercise price for the Shares to be issued pursuant to exercise of an Option will be determined by the Administrator, subject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The per Share exercise price will be no less than one hundred percent (100%) of the Fair Market Value per Share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(2) Notwithstanding the foregoing, Options may be granted with a per Share exercise price of less than one hundred percent (100%) of the Fair Market Value per Share on the date of grant pursuant to a transaction described in, and in a manner consistent with, Section 424(a) of the Code.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Waiting Period and Exercise Dates</w:t>
      </w:r>
      <w:r>
        <w:rPr>
          <w:rFonts w:ascii="Times New Roman" w:hAnsi="Times New Roman"/>
          <w:sz w:val="20"/>
        </w:rPr>
        <w:t xml:space="preserve">. At the time an Option is granted, the Administrator will fix the period within which the Option may be exercised and will determine any conditions that must be satisfied before the Option may be exercised.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Form of Consideration</w:t>
      </w:r>
      <w:r>
        <w:rPr>
          <w:rFonts w:ascii="Times New Roman" w:hAnsi="Times New Roman"/>
          <w:sz w:val="20"/>
        </w:rPr>
        <w:t xml:space="preserve">. The Administrator will determine the acceptable form of consideration for exercising an Option, including the method of payment.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Exercise of Option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Procedure for Exercise; Rights as a Stockholder</w:t>
      </w:r>
      <w:r>
        <w:rPr>
          <w:rFonts w:ascii="Times New Roman" w:hAnsi="Times New Roman"/>
          <w:sz w:val="20"/>
        </w:rPr>
        <w:t xml:space="preserve">. Any Option granted hereunder will be exercisable according to the terms of the Plan and at such times and under such conditions as determined by the Administrator and set forth in the Award Agreement. An Option may not be exercised for a fraction of a Share. </w:t>
      </w:r>
    </w:p>
    <w:p>
      <w:pPr>
        <w:pStyle w:val="TextBody"/>
        <w:bidi w:val="0"/>
        <w:spacing w:before="240" w:after="0"/>
        <w:jc w:val="left"/>
        <w:rPr>
          <w:rFonts w:ascii="Times New Roman" w:hAnsi="Times New Roman"/>
          <w:sz w:val="20"/>
        </w:rPr>
      </w:pPr>
      <w:r>
        <w:rPr>
          <w:rFonts w:ascii="Times New Roman" w:hAnsi="Times New Roman"/>
          <w:sz w:val="20"/>
        </w:rPr>
        <w:t xml:space="preserve">An Option will be deemed exercised when the Company receives: (i) notice of exercise (in accordance with the procedures that the Administrator may specify from time to time) from the person entitled to exercise the Option, and (ii) full payment for the Shares with respect to which the Option is exercised (together with any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 </w:t>
      </w:r>
    </w:p>
    <w:p>
      <w:pPr>
        <w:pStyle w:val="TextBody"/>
        <w:bidi w:val="0"/>
        <w:spacing w:before="240" w:after="0"/>
        <w:jc w:val="left"/>
        <w:rPr>
          <w:rFonts w:ascii="Times New Roman" w:hAnsi="Times New Roman"/>
          <w:sz w:val="20"/>
        </w:rPr>
      </w:pPr>
      <w:r>
        <w:rPr>
          <w:rFonts w:ascii="Times New Roman" w:hAnsi="Times New Roman"/>
          <w:sz w:val="20"/>
        </w:rPr>
        <w:t xml:space="preserve">Exercising an Option in any manner will decrease the number of Shares thereafter available, both for purposes of the Plan and for sale under the Option, by the number of Shares as to which the Option is exercised.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Termination of Relationship as a Service Provider</w:t>
      </w:r>
      <w:r>
        <w:rPr>
          <w:rFonts w:ascii="Times New Roman" w:hAnsi="Times New Roman"/>
          <w:sz w:val="20"/>
        </w:rPr>
        <w:t xml:space="preserve">. If a Participant ceases to be a Service Provider, other than upon the cessation of the Participant’s Service Provider status as the result of the Participant’s death or Disability, the Participant may exercise his or her Option within such period of time as is specified in the Award Agreement to the extent that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three (3)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by the Administrator, the Option will terminate, and the Shares covered by such Option will revert to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Disability of Participant</w:t>
      </w:r>
      <w:r>
        <w:rPr>
          <w:rFonts w:ascii="Times New Roman" w:hAnsi="Times New Roman"/>
          <w:sz w:val="20"/>
        </w:rPr>
        <w:t xml:space="preserve">. If a Participant ceases to be a Service Provider as a result of the Participant’s Disability, the Participant may exercise his or her Option within such period of time as is specified in the Award Agreement to the extent the Option is vested on the date of cessation of the Participant’s Service Provider status (but in no event later than the expiration of the term of such Option as set forth in the Award Agreement). In the absence of a specified time in the Award Agreement, the Option will remain exercisable for twelve (12) months following cessation of the Participant’s Service Provider status. Unless otherwise provided by the Administrator, if on the date of cessation of the Participant’s Service Provider status the Participant is not vested as to his or her entire Option, the Shares covered by the unvested portion of the Option will revert to the Plan. If, after cessation of the Participant’s Service Provider status, the Participant does not exercise his or her Option within the time specified herein, the Option will terminate, and the Shares covered by such Option will revert to the Plan.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Death of Participant</w:t>
      </w:r>
      <w:r>
        <w:rPr>
          <w:rFonts w:ascii="Times New Roman" w:hAnsi="Times New Roman"/>
          <w:sz w:val="20"/>
        </w:rPr>
        <w:t xml:space="preserve">.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the Participant’s death. Unless otherwise provided by the Administrator, if at the time of death, the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Tolling Expiration</w:t>
      </w:r>
      <w:r>
        <w:rPr>
          <w:rFonts w:ascii="Times New Roman" w:hAnsi="Times New Roman"/>
          <w:sz w:val="20"/>
        </w:rPr>
        <w:t xml:space="preserve">. A Participant’s Award Agreement may also provide that: </w:t>
      </w:r>
    </w:p>
    <w:p>
      <w:pPr>
        <w:pStyle w:val="TextBody"/>
        <w:bidi w:val="0"/>
        <w:spacing w:before="120" w:after="0"/>
        <w:jc w:val="left"/>
        <w:rPr>
          <w:rFonts w:ascii="Times New Roman" w:hAnsi="Times New Roman"/>
          <w:sz w:val="20"/>
        </w:rPr>
      </w:pPr>
      <w:r>
        <w:rPr>
          <w:rFonts w:ascii="Times New Roman" w:hAnsi="Times New Roman"/>
          <w:sz w:val="20"/>
        </w:rPr>
        <w:t xml:space="preserve">(1) if the exercise of the Option following the cessation of the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(10th) day after the last date on which such exercise would result in liability under Section 16(b); or </w:t>
      </w:r>
    </w:p>
    <w:p>
      <w:pPr>
        <w:pStyle w:val="TextBody"/>
        <w:bidi w:val="0"/>
        <w:spacing w:before="240" w:after="0"/>
        <w:jc w:val="left"/>
        <w:rPr>
          <w:rFonts w:ascii="Times New Roman" w:hAnsi="Times New Roman"/>
          <w:sz w:val="20"/>
        </w:rPr>
      </w:pPr>
      <w:r>
        <w:rPr>
          <w:rFonts w:ascii="Times New Roman" w:hAnsi="Times New Roman"/>
          <w:sz w:val="20"/>
        </w:rPr>
        <w:t xml:space="preserve">(2) 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 (30) days after the cessation of the Participant’s status as a Service Provider during which the exercise of the Option would not be in violation of such registration requirements.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Restricted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Grant of Restricted Stock</w:t>
      </w:r>
      <w:r>
        <w:rPr>
          <w:rFonts w:ascii="Times New Roman" w:hAnsi="Times New Roman"/>
          <w:sz w:val="20"/>
        </w:rPr>
        <w:t xml:space="preserve">. Subject to the terms and provisions of the Plan, the Administrator, at any time and from time to time, may grant Shares of Restricted Stock to any individual as a material inducement to the individual becoming an Employee or as otherwise permitted under Section 5 in connection with a merger of acquisition, in each case, which grant shall become effective only if the individual actually becomes an Employee, in such amounts as the Administrator, in its sole discretion, will determine.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Restricted Stock Agreement</w:t>
      </w:r>
      <w:r>
        <w:rPr>
          <w:rFonts w:ascii="Times New Roman" w:hAnsi="Times New Roman"/>
          <w:sz w:val="20"/>
        </w:rPr>
        <w:t xml:space="preserve">. Each Award of Restricted Stock will be evidenced by an Award Agreement that will specify any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Transferability</w:t>
      </w:r>
      <w:r>
        <w:rPr>
          <w:rFonts w:ascii="Times New Roman" w:hAnsi="Times New Roman"/>
          <w:sz w:val="20"/>
        </w:rPr>
        <w:t xml:space="preserve">. Except as provided in this Section 7 or the Award Agreement, Shares of Restricted Stock may not be sold, transferred, pledged, assigned, or otherwise alienated or hypothecated until the end of any applicable Period of Restriction.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Other Restrictions</w:t>
      </w:r>
      <w:r>
        <w:rPr>
          <w:rFonts w:ascii="Times New Roman" w:hAnsi="Times New Roman"/>
          <w:sz w:val="20"/>
        </w:rPr>
        <w:t xml:space="preserve">. The Administrator, in its sole discretion, may impose such other restrictions on Shares of Restricted Stock as it may deem advisable or appropriate.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Removal of Restrictions</w:t>
      </w:r>
      <w:r>
        <w:rPr>
          <w:rFonts w:ascii="Times New Roman" w:hAnsi="Times New Roman"/>
          <w:sz w:val="20"/>
        </w:rPr>
        <w:t xml:space="preserve">. Except as otherwise provided in this Section 7, Shares of Restricted Stock covered by each Restricted Stock grant made under the Plan will be released from escrow as soon as practicable after the last day of any applicable Period of Restriction or at such other time as the Administrator may determine. The Administrator, in its discretion, may accelerate the time at which any restrictions will lapse or be removed.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Voting Rights</w:t>
      </w:r>
      <w:r>
        <w:rPr>
          <w:rFonts w:ascii="Times New Roman" w:hAnsi="Times New Roman"/>
          <w:sz w:val="20"/>
        </w:rPr>
        <w:t xml:space="preserve">. During any applicable Period of Restriction, Participants holding Shares of Restricted Stock granted hereunder may exercise full voting rights with respect to those Shares, unless the Administrator determines otherwise.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Dividends and Other Distributions</w:t>
      </w:r>
      <w:r>
        <w:rPr>
          <w:rFonts w:ascii="Times New Roman" w:hAnsi="Times New Roman"/>
          <w:sz w:val="20"/>
        </w:rPr>
        <w:t xml:space="preserve">. During any applicable Period of Restriction, Participants holding Shares of Restricted Stock will not be entitled to receive all dividends and other distributions paid with respect to such Shares, unless the Administrator provides otherwise.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Return of Restricted Stock to Company</w:t>
      </w:r>
      <w:r>
        <w:rPr>
          <w:rFonts w:ascii="Times New Roman" w:hAnsi="Times New Roman"/>
          <w:sz w:val="20"/>
        </w:rPr>
        <w:t xml:space="preserve">. On the date set forth in the Award Agreement, the Restricted Stock for which restrictions have not lapsed will revert to the Company and again will become available for grant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Restricted Stock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Grant</w:t>
      </w:r>
      <w:r>
        <w:rPr>
          <w:rFonts w:ascii="Times New Roman" w:hAnsi="Times New Roman"/>
          <w:sz w:val="20"/>
        </w:rPr>
        <w:t xml:space="preserve">. Subject to the terms and conditions of the Plan, Restricted Stock Units may be granted at any time and from time to time as determined by the Administrator to any individual as a material inducement to the individual becoming an Employee or as otherwise permitted under Section 5 in connection with a merger of acquisition, in each case, which grant shall become effective only if the individual actually becomes an Employee. After the Administrator determines that it will grant Restricted Stock Units under the Plan, it will advise the Participant in an Award Agreement of the terms, conditions, and restrictions related to the grant, including the number of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Vesting Criteria and Other Terms</w:t>
      </w:r>
      <w:r>
        <w:rPr>
          <w:rFonts w:ascii="Times New Roman" w:hAnsi="Times New Roman"/>
          <w:sz w:val="20"/>
        </w:rPr>
        <w:t xml:space="preserve">.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Earning Restricted Stock Units</w:t>
      </w:r>
      <w:r>
        <w:rPr>
          <w:rFonts w:ascii="Times New Roman" w:hAnsi="Times New Roman"/>
          <w:sz w:val="20"/>
        </w:rPr>
        <w:t xml:space="preserve">.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Form and Timing of Payment</w:t>
      </w:r>
      <w:r>
        <w:rPr>
          <w:rFonts w:ascii="Times New Roman" w:hAnsi="Times New Roman"/>
          <w:sz w:val="20"/>
        </w:rPr>
        <w:t xml:space="preserve">. Payment of earned Restricted Stock Units will be made as soon as practicable after the date(s) determined by the Administrator and set forth in the Award Agreement. The Administrator, in its sole discretion, may settle earned Restricted Stock Units only in cash, Shares, or a combination of both.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Cancellation</w:t>
      </w:r>
      <w:r>
        <w:rPr>
          <w:rFonts w:ascii="Times New Roman" w:hAnsi="Times New Roman"/>
          <w:sz w:val="20"/>
        </w:rPr>
        <w:t xml:space="preserve">. On the date set forth in the Award Agreement, all unearned Restricted Stock Units will be forfeited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Stock Appreciation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Grant of Stock Appreciation Rights</w:t>
      </w:r>
      <w:r>
        <w:rPr>
          <w:rFonts w:ascii="Times New Roman" w:hAnsi="Times New Roman"/>
          <w:sz w:val="20"/>
        </w:rPr>
        <w:t xml:space="preserve">. Subject to the terms and conditions of the Plan, a Stock Appreciation Right may be granted to any individual as a material inducement to the individual becoming an Employee or as otherwise permitted under Section 5 in connection with a merger or acquisition, in each case, which grant shall become effective only if the individual actually becomes an Employee, at any time and from time to time as will be determined by the Administrator,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Number of Shares</w:t>
      </w:r>
      <w:r>
        <w:rPr>
          <w:rFonts w:ascii="Times New Roman" w:hAnsi="Times New Roman"/>
          <w:sz w:val="20"/>
        </w:rPr>
        <w:t xml:space="preserve">. The Administrator will have complete discretion to determine the number of Stock Appreciation Rights granted to any Employee.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Exercise Price and Other Terms</w:t>
      </w:r>
      <w:r>
        <w:rPr>
          <w:rFonts w:ascii="Times New Roman" w:hAnsi="Times New Roman"/>
          <w:sz w:val="20"/>
        </w:rPr>
        <w:t xml:space="preserve">.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Stock Appreciation Right Agreement</w:t>
      </w:r>
      <w:r>
        <w:rPr>
          <w:rFonts w:ascii="Times New Roman" w:hAnsi="Times New Roman"/>
          <w:sz w:val="20"/>
        </w:rPr>
        <w:t xml:space="preserve">. Each Stock Appreciation Right grant will be evidenced by an Award Agreement that will specify the exercise price, the term of the Stock Appreciation Right, the conditions of exercise, and such other terms and conditions as the Administrator, in its sole discretion, will determine.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Expiration of Stock Appreciation Rights</w:t>
      </w:r>
      <w:r>
        <w:rPr>
          <w:rFonts w:ascii="Times New Roman" w:hAnsi="Times New Roman"/>
          <w:sz w:val="20"/>
        </w:rPr>
        <w:t xml:space="preserve">. A Stock Appreciation Right granted under the Plan will expire upon the date as determined by the Administrator, in its sole discretion, and set forth in the Award Agreement. Notwithstanding the foregoing, the rules of Section 6(d) relating to the maximum term and Section 6(e) relating to exercise also will apply to Stock Appreciation Rights.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Payment of Stock Appreciation Right Amount</w:t>
      </w:r>
      <w:r>
        <w:rPr>
          <w:rFonts w:ascii="Times New Roman" w:hAnsi="Times New Roman"/>
          <w:sz w:val="20"/>
        </w:rPr>
        <w:t xml:space="preserve">. Upon exercise of a Stock Appreciation Right, a Participant will be entitled to receive payment from the Company in an amount determined as the product of: </w:t>
      </w:r>
    </w:p>
    <w:p>
      <w:pPr>
        <w:pStyle w:val="TextBody"/>
        <w:bidi w:val="0"/>
        <w:spacing w:before="120" w:after="0"/>
        <w:jc w:val="left"/>
        <w:rPr>
          <w:rFonts w:ascii="Times New Roman" w:hAnsi="Times New Roman"/>
          <w:sz w:val="20"/>
        </w:rPr>
      </w:pPr>
      <w:r>
        <w:rPr>
          <w:rFonts w:ascii="Times New Roman" w:hAnsi="Times New Roman"/>
          <w:sz w:val="20"/>
        </w:rPr>
        <w:t xml:space="preserve">(i) The difference between the Fair Market Value of a Share on the date of exercise over the exercise price; and </w:t>
      </w:r>
    </w:p>
    <w:p>
      <w:pPr>
        <w:pStyle w:val="TextBody"/>
        <w:bidi w:val="0"/>
        <w:spacing w:before="240" w:after="0"/>
        <w:jc w:val="left"/>
        <w:rPr>
          <w:rFonts w:ascii="Times New Roman" w:hAnsi="Times New Roman"/>
          <w:sz w:val="20"/>
        </w:rPr>
      </w:pPr>
      <w:r>
        <w:rPr>
          <w:rFonts w:ascii="Times New Roman" w:hAnsi="Times New Roman"/>
          <w:sz w:val="20"/>
        </w:rPr>
        <w:t xml:space="preserve">(ii) The number of Shares with respect to which the Stock Appreciation Right is exercised. </w:t>
      </w:r>
    </w:p>
    <w:p>
      <w:pPr>
        <w:pStyle w:val="TextBody"/>
        <w:bidi w:val="0"/>
        <w:spacing w:before="240" w:after="0"/>
        <w:jc w:val="left"/>
        <w:rPr>
          <w:rFonts w:ascii="Times New Roman" w:hAnsi="Times New Roman"/>
          <w:sz w:val="20"/>
        </w:rPr>
      </w:pPr>
      <w:r>
        <w:rPr>
          <w:rFonts w:ascii="Times New Roman" w:hAnsi="Times New Roman"/>
          <w:sz w:val="20"/>
        </w:rPr>
        <w:t xml:space="preserve">At the discretion of the Administrator, the payment upon exercise of a Stock Appreciation Right may be in cash, in Shares of equivalent value, or in some combination of both.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Performance Units and Performance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Grant of Performance Units/Shares</w:t>
      </w:r>
      <w:r>
        <w:rPr>
          <w:rFonts w:ascii="Times New Roman" w:hAnsi="Times New Roman"/>
          <w:sz w:val="20"/>
        </w:rPr>
        <w:t xml:space="preserve">. Subject to the terms and conditions of the Plan, Performance Units and Performance Shares may be granted to any individual as a material inducement to the individual becoming an Employee, which grant shall become effective only if the individual actually becomes an Employee or as otherwise permitted under Section 5 in connection with a merger or acquisition, in each case, at any time and from time to time, as will be determined by the Administrator, in its sole discretion. The Administrator will have complete discretion in determining the number of Performance Units and Performance Shares granted to each Participant.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Value of Performance Units/Shares</w:t>
      </w:r>
      <w:r>
        <w:rPr>
          <w:rFonts w:ascii="Times New Roman" w:hAnsi="Times New Roman"/>
          <w:sz w:val="20"/>
        </w:rPr>
        <w:t xml:space="preserve">. Each Performance Unit will have an initial value that is established by the Administrator on or before the date of grant. Each Performance Share will have an initial value equal to the Fair Market Value of a Share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Performance Objectives and Other Terms</w:t>
      </w:r>
      <w:r>
        <w:rPr>
          <w:rFonts w:ascii="Times New Roman" w:hAnsi="Times New Roman"/>
          <w:sz w:val="20"/>
        </w:rPr>
        <w:t xml:space="preserve">. The Administrator will set performance objectives or other vesting provisions (including, without limitation, continued status as a Participants)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Earning of Performance Units/Shares</w:t>
      </w:r>
      <w:r>
        <w:rPr>
          <w:rFonts w:ascii="Times New Roman" w:hAnsi="Times New Roman"/>
          <w:sz w:val="20"/>
        </w:rPr>
        <w:t xml:space="preserve">.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Form and Timing of Payment of Performance Units/Shares</w:t>
      </w:r>
      <w:r>
        <w:rPr>
          <w:rFonts w:ascii="Times New Roman" w:hAnsi="Times New Roman"/>
          <w:sz w:val="20"/>
        </w:rPr>
        <w:t xml:space="preserve">.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Cancellation of Performance Units/Shares</w:t>
      </w:r>
      <w:r>
        <w:rPr>
          <w:rFonts w:ascii="Times New Roman" w:hAnsi="Times New Roman"/>
          <w:sz w:val="20"/>
        </w:rPr>
        <w:t xml:space="preserve">. On the date set forth in the Award Agreement, all unearned or unvested Performance Units/Shares will be forfeited to the Company, and again will be available for grant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Leaves of Absence/Transfer Between Locations</w:t>
      </w:r>
      <w:r>
        <w:rPr>
          <w:rFonts w:ascii="Times New Roman" w:hAnsi="Times New Roman"/>
          <w:sz w:val="20"/>
        </w:rPr>
        <w:t xml:space="preserve">.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Transferability of Awards</w:t>
      </w:r>
      <w:r>
        <w:rPr>
          <w:rFonts w:ascii="Times New Roman" w:hAnsi="Times New Roman"/>
          <w:sz w:val="20"/>
        </w:rPr>
        <w:t xml:space="preserve">. Unless determined otherwise by the Administrator, an Award may not be sold, pledged, assigned, hypothecated, transferred, or disposed of in any manner other than by will or by the laws of descent and distribution, and may be exercised, during the lifetime of the Participant, only by the Participant. If the Administrator makes an Award transferable, such Award will contain such additional terms and conditions as the Administrator deems appropriate.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Adjustments; Dissolution or Liquidation; Merger or Change in Control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Adjustments</w:t>
      </w:r>
      <w:r>
        <w:rPr>
          <w:rFonts w:ascii="Times New Roman" w:hAnsi="Times New Roman"/>
          <w:sz w:val="20"/>
        </w:rPr>
        <w:t xml:space="preserve">. In the event that any extraordinary dividend or other extraordinary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the numerical Share limits in Section 3 of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Dissolution or Liquidation</w:t>
      </w:r>
      <w:r>
        <w:rPr>
          <w:rFonts w:ascii="Times New Roman" w:hAnsi="Times New Roman"/>
          <w:sz w:val="20"/>
        </w:rPr>
        <w:t xml:space="preserve">. In the event of a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Merger or Change in Control</w:t>
      </w:r>
      <w:r>
        <w:rPr>
          <w:rFonts w:ascii="Times New Roman" w:hAnsi="Times New Roman"/>
          <w:sz w:val="20"/>
        </w:rPr>
        <w:t xml:space="preserve">.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Section 13(c), the Administrator will not be obligated to treat all Awards, all Awards held by a Participant, all Awards of the same type, or all portions of Awards, similarly.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the successor corporation does not assume or substitute for the Award (or portion thereof), the Participant will fully vest in and have the right to exercise the Participant’s outstanding Option and Stock Appreciation Right (or portion thereof) that is not assumed or substituted for, including Shares as to which such Award would not otherwise be vested or exercisable, all restrictions on Restricted Stock, Restricted Stock Units, Performance Shares and Performance Units (or portions thereof) not assumed or substituted for will lapse, and, with respect to such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between the Participant and the Company or any of its Subsidiaries or Parents, as applicable. In addition, if an Option or Stock Appreciation Right (or portion thereof) is not assumed or substituted for in the event of a merger or Change in Control, the Administrator will notify the Participant in writing or electronically that such Option or Stock Appreciation Right (or its applicable portion) will be exercisable for a period of time determined by the Administrator in its sole discretion, and the Option or Stock Appreciation Right (or its applicable portion) will terminate upon the expiration of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the purposes of this subsection (c),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subsection (c) to the contrary, and unless otherwise provided in an Award Agreement or other written agreement between the Participant and the Company or any of its Subsidiaries or Parents, as applicable,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in this subsection (c) to the contrary, if a payment under an Award Agreement is subject to Section 409A and if the change in control definition contained in the Award Agreement or other written agreement related to the Award does not comply with the definition of “change in control” for purposes of a distribution under Section 409A, then any payment of an amount that otherwise is accelerated under this Section will be delayed until the earliest time that such payment would be permissible under Section 409A without triggering any penalties applicable under Section 409A.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Outside Director Awards</w:t>
      </w:r>
      <w:r>
        <w:rPr>
          <w:rFonts w:ascii="Times New Roman" w:hAnsi="Times New Roman"/>
          <w:sz w:val="20"/>
        </w:rPr>
        <w:t xml:space="preserve">. With respect to Awards granted to an Outside Director, in the event of a Change in Control, the Participant will fully vest in and have the right to exercise Options and/or Stock Appreciation Rights as to all of the Shares underlying such Award, including those Shares which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between the Participant and the Company or any of its Subsidiaries or Parents,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Tax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Withholding Requirements</w:t>
      </w:r>
      <w:r>
        <w:rPr>
          <w:rFonts w:ascii="Times New Roman" w:hAnsi="Times New Roman"/>
          <w:sz w:val="20"/>
        </w:rPr>
        <w:t xml:space="preserve">. Prior to the delivery of any Shares or cash pursuant to an Award (or exercise thereof) or such earlier time as any tax withholding obligations are due, the Company (or any of its Subsidiaries, Parents or affiliates employing or retaining the services of a Participant, as applicable) will have the power and the right to deduct or withhold, or require a Participant to remit to the Company (or any of its Subsidiaries, Parents or affiliates, as applicable), an amount sufficient to satisfy U.S. federal, state, and local, non-U.S., and other taxes (including the Participant’s FICA obligation) required to be withheld with respect to such Award (or exercise thereof).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Withholding Arrangements</w:t>
      </w:r>
      <w:r>
        <w:rPr>
          <w:rFonts w:ascii="Times New Roman" w:hAnsi="Times New Roman"/>
          <w:sz w:val="20"/>
        </w:rPr>
        <w:t xml:space="preserve">. The Administrator, in its sole discretion and pursuant to such procedures as it may specify from time to time, may permit a Participant to satisfy such tax withholding obligation, in whole or in part by (without limitation) (i) paying cash, check or other cash equivalents, (ii)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(iii) delivering to the Company already-owned Shares having a fair market value equal to the statutory amount required to be withheld or such greater amount as the Administrator may determine, in each case, provided the delivery of such Shares will not result in any adverse accounting consequences, as the Administrator determines in its sole discretion, (iv) selling a sufficient number of Shares otherwise deliverable to the Participant through such means as the Administrator may determine in its sole discretion (whether through a broker or otherwise) equal to the amount required to be withheld, or (v) any combination of the foregoing methods of payment. The withholding amount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Compliance With Section 409A</w:t>
      </w:r>
      <w:r>
        <w:rPr>
          <w:rFonts w:ascii="Times New Roman" w:hAnsi="Times New Roman"/>
          <w:sz w:val="20"/>
        </w:rPr>
        <w:t xml:space="preserve">.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Subsidiaries or Parents have any obligation or liability under the terms of this Plan to reimburse, indemnify, or hold harmless any Participant or any other person in respect of Awards, for any taxes, interest or penalties imposed, or other costs incurred, as a result of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No Effect on Employment or Service</w:t>
      </w:r>
      <w:r>
        <w:rPr>
          <w:rFonts w:ascii="Times New Roman" w:hAnsi="Times New Roman"/>
          <w:sz w:val="20"/>
        </w:rPr>
        <w:t xml:space="preserve">. Neither the Plan nor any Award will confer upon a Participant any right with respect to continuing the Participant’s relationship as a Service Provider, nor interfere in any way with the Participant’s right or the right of the Company and its Subsidiaries or Parents, as applicable, to terminate such relationship at any time, with or without cause, to the extent permitted by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Date of Grant</w:t>
      </w:r>
      <w:r>
        <w:rPr>
          <w:rFonts w:ascii="Times New Roman" w:hAnsi="Times New Roman"/>
          <w:sz w:val="20"/>
        </w:rPr>
        <w:t xml:space="preserve">.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Term of Plan</w:t>
      </w:r>
      <w:r>
        <w:rPr>
          <w:rFonts w:ascii="Times New Roman" w:hAnsi="Times New Roman"/>
          <w:sz w:val="20"/>
        </w:rPr>
        <w:t xml:space="preserve">. The Plan will become effective upon its adoption by the Board or its (designated committee). It will continue in effect for a term of ten (10) years from the date adopted by the Board, unless terminated earlier under Section 18 of the Plan.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Amendment and Termination of the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 and Termination</w:t>
      </w:r>
      <w:r>
        <w:rPr>
          <w:rFonts w:ascii="Times New Roman" w:hAnsi="Times New Roman"/>
          <w:sz w:val="20"/>
        </w:rPr>
        <w:t xml:space="preserve">. The Administrator, at any time, may amend, alter, suspend or terminate the Plan.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Stockholder Approval</w:t>
      </w:r>
      <w:r>
        <w:rPr>
          <w:rFonts w:ascii="Times New Roman" w:hAnsi="Times New Roman"/>
          <w:sz w:val="20"/>
        </w:rPr>
        <w:t xml:space="preserve">. The Company will obtain stockholder approval of any Plan amendment to the extent necessary and desirable to comply with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Effect of Amendment or Termination</w:t>
      </w:r>
      <w:r>
        <w:rPr>
          <w:rFonts w:ascii="Times New Roman" w:hAnsi="Times New Roman"/>
          <w:sz w:val="20"/>
        </w:rPr>
        <w:t xml:space="preserve">.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Conditions Upon Issuance of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Legal Compliance</w:t>
      </w:r>
      <w:r>
        <w:rPr>
          <w:rFonts w:ascii="Times New Roman" w:hAnsi="Times New Roman"/>
          <w:sz w:val="20"/>
        </w:rPr>
        <w:t xml:space="preserve">. Shares will not be issued pursuant to the exercise of an Award unless the exercise of such Award and the issuance and delivery of such Shares will comply with Applicable Laws and will be further subject to the approval of counsel for the Company with respect to such compliance.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Investment Representations</w:t>
      </w:r>
      <w:r>
        <w:rPr>
          <w:rFonts w:ascii="Times New Roman" w:hAnsi="Times New Roman"/>
          <w:sz w:val="20"/>
        </w:rPr>
        <w:t xml:space="preserve">.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w:t>
      </w:r>
    </w:p>
    <w:p>
      <w:pPr>
        <w:pStyle w:val="TextBody"/>
        <w:bidi w:val="0"/>
        <w:spacing w:before="240" w:after="0"/>
        <w:jc w:val="left"/>
        <w:rPr>
          <w:rFonts w:ascii="Times New Roman" w:hAnsi="Times New Roman"/>
          <w:sz w:val="20"/>
        </w:rPr>
      </w:pPr>
      <w:r>
        <w:rPr>
          <w:rFonts w:ascii="Times New Roman" w:hAnsi="Times New Roman"/>
          <w:sz w:val="20"/>
        </w:rPr>
        <w:t xml:space="preserve">20. </w:t>
      </w:r>
      <w:r>
        <w:rPr>
          <w:rFonts w:ascii="Times New Roman" w:hAnsi="Times New Roman"/>
          <w:sz w:val="20"/>
          <w:u w:val="single"/>
        </w:rPr>
        <w:t>Inability to Obtain Authority</w:t>
      </w:r>
      <w:r>
        <w:rPr>
          <w:rFonts w:ascii="Times New Roman" w:hAnsi="Times New Roman"/>
          <w:sz w:val="20"/>
        </w:rPr>
        <w:t xml:space="preserve">. The inability of the Company to obtain authority from any regulatory body having jurisdiction or to complete or comply with the requirements of any registration or other qualification of the Shares under any U.S. state or federal law or non-U.S.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Forfeiture Events</w:t>
      </w:r>
      <w:r>
        <w:rPr>
          <w:rFonts w:ascii="Times New Roman" w:hAnsi="Times New Roman"/>
          <w:sz w:val="20"/>
        </w:rPr>
        <w:t>.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of an Award. Notwithstanding any provisions to the contrary under this Plan, an Award will be subject to the Company’s clawback policy as may be established and/or amended from time to time to comply with Applicable Laws (including without limitation pursuant to the listing standards of any national securities exchange or association on which the Company’s securities are listed or as may be required by the Dodd-Frank wall Street Reform and Consumer Protection Act) (the “</w:t>
      </w:r>
      <w:r>
        <w:rPr>
          <w:rFonts w:ascii="Times New Roman" w:hAnsi="Times New Roman"/>
          <w:sz w:val="20"/>
          <w:u w:val="single"/>
        </w:rPr>
        <w:t>Clawback Policy</w:t>
      </w:r>
      <w:r>
        <w:rPr>
          <w:rFonts w:ascii="Times New Roman" w:hAnsi="Times New Roman"/>
          <w:sz w:val="20"/>
        </w:rPr>
        <w:t xml:space="preserve">”). The Administrator may require a Participant to forfeit, return or reimburse the Company all or a portion of the Award and any amounts paid thereunder pursuant to the terms of the Clawback Policy or as necessary or appropriate to comply with Applicable Laws. Unless this Section 21 specifically is mentioned and waived in an Award Agreement or other document, no recovery of compensation under a Clawback Policy or otherwise will constitute an event that triggers or contributes to any right of a Participant to resign for “good reason” or “constructive termination” (or similar term) under any agreement with the Company or any Parent or Subsidiary of the Company.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10708</Words>
  <Characters>56058</Characters>
  <CharactersWithSpaces>66779</CharactersWithSpaces>
  <Paragraphs>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EX-10.1</dc:title>
</cp:coreProperties>
</file>