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ric-20260630.htm"/>
      <w:bookmarkStart w:id="1" w:name="ksoric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 to 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001-39269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ORIC PHARMACEUTICALS,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6002" w:type="dxa"/>
        <w:jc w:val="left"/>
        <w:tblInd w:w="0" w:type="dxa"/>
        <w:tblLayout w:type="fixed"/>
        <w:tblCellMar>
          <w:top w:w="28" w:type="dxa"/>
          <w:left w:w="28" w:type="dxa"/>
          <w:bottom w:w="28" w:type="dxa"/>
          <w:right w:w="28" w:type="dxa"/>
        </w:tblCellMar>
      </w:tblPr>
      <w:tblGrid>
        <w:gridCol w:w="3751"/>
        <w:gridCol w:w="2251"/>
      </w:tblGrid>
      <w:tr>
        <w:trPr/>
        <w:tc>
          <w:tcPr>
            <w:tcW w:w="375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47-1787157</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 of incorporation or organization)</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 Identification No.)</w:t>
            </w:r>
          </w:p>
        </w:tc>
      </w:tr>
      <w:tr>
        <w:trPr/>
        <w:tc>
          <w:tcPr>
            <w:tcW w:w="375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sz w:val="14"/>
              </w:rPr>
            </w:pPr>
            <w:r>
              <w:rPr>
                <w:rFonts w:ascii="Times New Roman" w:hAnsi="Times New Roman"/>
                <w:b/>
                <w:color w:val="000000"/>
                <w:sz w:val="16"/>
              </w:rPr>
              <w:t>240 E. Grand Ave, 2</w:t>
            </w:r>
            <w:r>
              <w:rPr>
                <w:rFonts w:ascii="Times New Roman" w:hAnsi="Times New Roman"/>
                <w:b/>
                <w:color w:val="000000"/>
                <w:sz w:val="9"/>
              </w:rPr>
              <w:t>nd</w:t>
            </w:r>
            <w:r>
              <w:rPr>
                <w:rFonts w:ascii="Times New Roman" w:hAnsi="Times New Roman"/>
                <w:color w:val="000000"/>
                <w:sz w:val="16"/>
              </w:rPr>
              <w:t xml:space="preserve"> </w:t>
            </w:r>
            <w:r>
              <w:rPr>
                <w:rFonts w:ascii="Times New Roman" w:hAnsi="Times New Roman"/>
                <w:b/>
                <w:color w:val="000000"/>
                <w:sz w:val="16"/>
              </w:rPr>
              <w:t>Floor</w:t>
            </w:r>
            <w:r>
              <w:rPr>
                <w:rFonts w:ascii="Times New Roman" w:hAnsi="Times New Roman"/>
                <w:color w:val="000000"/>
                <w:sz w:val="14"/>
              </w:rPr>
              <w:t xml:space="preserve"> </w:t>
            </w:r>
          </w:p>
          <w:p>
            <w:pPr>
              <w:pStyle w:val="TableContents"/>
              <w:bidi w:val="0"/>
              <w:spacing w:before="0" w:after="283"/>
              <w:jc w:val="center"/>
              <w:rPr>
                <w:rFonts w:ascii="Times New Roman" w:hAnsi="Times New Roman"/>
                <w:sz w:val="20"/>
              </w:rPr>
            </w:pPr>
            <w:r>
              <w:rPr>
                <w:rFonts w:ascii="Times New Roman" w:hAnsi="Times New Roman"/>
                <w:b/>
                <w:color w:val="000000"/>
                <w:sz w:val="16"/>
              </w:rPr>
              <w:t>South San Francisco, CA</w:t>
            </w:r>
            <w:r>
              <w:rPr>
                <w:rFonts w:ascii="Times New Roman" w:hAnsi="Times New Roman"/>
                <w:color w:val="000000"/>
                <w:sz w:val="20"/>
              </w:rPr>
              <w:t xml:space="preserve"> </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94080</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(650) 388-5600</w:t>
      </w:r>
    </w:p>
    <w:p>
      <w:pPr>
        <w:pStyle w:val="TextBody"/>
        <w:pBdr>
          <w:bottom w:val="single" w:sz="4" w:space="1" w:color="000000"/>
        </w:pBdr>
        <w:bidi w:val="0"/>
        <w:spacing w:before="60" w:after="283"/>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Not applicable</w:t>
      </w:r>
    </w:p>
    <w:p>
      <w:pPr>
        <w:pStyle w:val="TextBody"/>
        <w:bidi w:val="0"/>
        <w:spacing w:before="80" w:after="283"/>
        <w:jc w:val="center"/>
        <w:rPr>
          <w:rFonts w:ascii="Times New Roman" w:hAnsi="Times New Roman"/>
          <w:sz w:val="20"/>
        </w:rPr>
      </w:pPr>
      <w:bookmarkStart w:id="2" w:name="t0"/>
      <w:bookmarkEnd w:id="2"/>
      <w:r>
        <w:rPr>
          <w:rFonts w:ascii="Times New Roman" w:hAnsi="Times New Roman"/>
          <w:color w:val="000000"/>
          <w:sz w:val="18"/>
        </w:rPr>
        <w:t>(Former name,</w:t>
      </w:r>
      <w:r>
        <w:rPr>
          <w:rFonts w:ascii="Times New Roman" w:hAnsi="Times New Roman"/>
          <w:color w:val="000000"/>
          <w:sz w:val="20"/>
        </w:rPr>
        <w:t xml:space="preserve"> </w:t>
      </w:r>
      <w:r>
        <w:rPr>
          <w:rFonts w:ascii="Times New Roman" w:hAnsi="Times New Roman"/>
          <w:color w:val="000000"/>
          <w:sz w:val="18"/>
        </w:rPr>
        <w:t>former address, and former fiscal year, if changed since last report)</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95" w:type="dxa"/>
        <w:jc w:val="left"/>
        <w:tblInd w:w="0" w:type="dxa"/>
        <w:tblLayout w:type="fixed"/>
        <w:tblCellMar>
          <w:top w:w="28" w:type="dxa"/>
          <w:left w:w="28" w:type="dxa"/>
          <w:bottom w:w="28" w:type="dxa"/>
          <w:right w:w="28" w:type="dxa"/>
        </w:tblCellMar>
      </w:tblPr>
      <w:tblGrid>
        <w:gridCol w:w="3361"/>
        <w:gridCol w:w="146"/>
        <w:gridCol w:w="826"/>
        <w:gridCol w:w="146"/>
        <w:gridCol w:w="331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Global Select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w:t>
      </w:r>
      <w:r>
        <w:rPr>
          <w:rFonts w:ascii="Times New Roman" w:hAnsi="Times New Roman"/>
          <w:color w:val="000000"/>
          <w:sz w:val="20"/>
        </w:rPr>
        <w:t xml:space="preserve"> </w:t>
      </w:r>
      <w:r>
        <w:rPr>
          <w:rFonts w:ascii="Times New Roman" w:hAnsi="Times New Roman"/>
          <w:color w:val="000000"/>
          <w:sz w:val="18"/>
        </w:rPr>
        <w:t xml:space="preserve">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July 27, 2026, the registrant had 103,652,656</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4" w:space="1" w:color="000000"/>
        </w:pBdr>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563C1"/>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563C1"/>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563C1"/>
                  <w:sz w:val="20"/>
                  <w:u w:val="single"/>
                </w:rPr>
                <w:t>Balance Sheets</w:t>
              </w:r>
            </w:hyperlink>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perations_comprehensive_loss">
              <w:r>
                <w:rPr>
                  <w:rStyle w:val="InternetLink"/>
                  <w:rFonts w:ascii="Times New Roman" w:hAnsi="Times New Roman"/>
                  <w:color w:val="0563C1"/>
                  <w:sz w:val="20"/>
                  <w:u w:val="single"/>
                </w:rPr>
                <w:t>Statements of Operations and Comprehensive Loss</w:t>
              </w:r>
            </w:hyperlink>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convertible_preferred_stock_s">
              <w:r>
                <w:rPr>
                  <w:rStyle w:val="InternetLink"/>
                  <w:rFonts w:ascii="Times New Roman" w:hAnsi="Times New Roman"/>
                  <w:color w:val="0563C1"/>
                  <w:sz w:val="20"/>
                  <w:u w:val="single"/>
                </w:rPr>
                <w:t>Statements of Stockholders’ Equity</w:t>
              </w:r>
            </w:hyperlink>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563C1"/>
                  <w:sz w:val="20"/>
                  <w:u w:val="single"/>
                </w:rPr>
                <w:t>Statements of Cash Flows</w:t>
              </w:r>
            </w:hyperlink>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financial_statements">
              <w:r>
                <w:rPr>
                  <w:rStyle w:val="InternetLink"/>
                  <w:rFonts w:ascii="Times New Roman" w:hAnsi="Times New Roman"/>
                  <w:color w:val="0563C1"/>
                  <w:sz w:val="20"/>
                  <w:u w:val="single"/>
                </w:rPr>
                <w:t>Notes to Unaudited Financial Statements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563C1"/>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563C1"/>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563C1"/>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563C1"/>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_equity_securiti">
              <w:r>
                <w:rPr>
                  <w:rStyle w:val="InternetLink"/>
                  <w:rFonts w:ascii="Times New Roman" w:hAnsi="Times New Roman"/>
                  <w:color w:val="0563C1"/>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563C1"/>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3" w:name="part_i"/>
      <w:bookmarkEnd w:id="3"/>
      <w:r>
        <w:rPr>
          <w:rFonts w:ascii="Times New Roman" w:hAnsi="Times New Roman"/>
          <w:b/>
          <w:color w:val="000000"/>
          <w:sz w:val="20"/>
        </w:rPr>
        <w:t>SPECIAL NOTE REGARDING FO</w:t>
      </w:r>
      <w:bookmarkStart w:id="4" w:name="special_note_regarding_forwardlooking_st"/>
      <w:bookmarkEnd w:id="4"/>
      <w:r>
        <w:rPr>
          <w:rFonts w:ascii="Times New Roman" w:hAnsi="Times New Roman"/>
          <w:b/>
          <w:color w:val="000000"/>
          <w:sz w:val="20"/>
        </w:rPr>
        <w:t>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All statements other than statements of historical facts contained in this quarterly report on Form 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clinical trials to demonstrate safety and efficacy of our product candidates, and other positive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progress and results of preclinical studies and clinical trials for rinzimetostat, enozertinib and other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scope or likelihood of regulatory filings and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benefits of and activity under the company’s collaboration, licenses and other third-party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and advance our current product candidates and programs into, and successfully complete,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manufacturing, commercialization, and marketing capabilities and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commercializing our product candidates, if approved, including the geographic areas of focus and sales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hire additional personnel and our ability to attract and retain such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impact of a global pandemic or other public health emergencies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market opportunity for our product candidates, including our estimates of the number of patients who suffer from the diseases we are targeting;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approval and use of our product candidates in combination with other drugs;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competitive position and the success of competing therapies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the number of patients that we will enroll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beneficial characteristics, safety, efficacy and therapeutic effects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regulatory approval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the further development of our product candidates, including additional indications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regulations and regulatory developments in the United States, Europe and other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intellectual property position, including the scope of protection we are able to establish and maintain for intellectual property rights covering rinzimetostat, enozertinib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continued reliance on third parties to conduct additional clinical trials of our product candidates, and for the manufacture of our product candidates for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negotiate favorable terms of, any collaboration, licensing or other arrangements that may be necessary or desirable to develop, manufacture or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and reimbursement of rinzimetostat, enozertinib and other product candidates we may develop,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and clinical utility of rinzimetostat, enozertinib and other product candidates we may develop, if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period over which we estimate our existing cash, cash equivalents and investments will be sufficient to fund our operating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laws and regulations;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use of our existing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part_i_financial_information"/>
      <w:bookmarkEnd w:id="5"/>
      <w:r>
        <w:rPr>
          <w:rFonts w:ascii="Times New Roman" w:hAnsi="Times New Roman"/>
          <w:b/>
          <w:color w:val="000000"/>
          <w:sz w:val="20"/>
        </w:rPr>
        <w:t>Part I – FINANCIAL INFORMATION</w:t>
      </w:r>
    </w:p>
    <w:p>
      <w:pPr>
        <w:pStyle w:val="TextBody"/>
        <w:bidi w:val="0"/>
        <w:jc w:val="center"/>
        <w:rPr/>
      </w:pPr>
      <w:r>
        <w:rPr/>
        <w:t> </w:t>
      </w:r>
    </w:p>
    <w:p>
      <w:pPr>
        <w:pStyle w:val="TextBody"/>
        <w:bidi w:val="0"/>
        <w:jc w:val="left"/>
        <w:rPr>
          <w:rFonts w:ascii="Times New Roman" w:hAnsi="Times New Roman"/>
          <w:b/>
          <w:color w:val="000000"/>
          <w:sz w:val="20"/>
        </w:rPr>
      </w:pPr>
      <w:bookmarkStart w:id="6" w:name="item_1_financial_statements"/>
      <w:bookmarkEnd w:id="6"/>
      <w:r>
        <w:rPr>
          <w:rFonts w:ascii="Times New Roman" w:hAnsi="Times New Roman"/>
          <w:b/>
          <w:color w:val="000000"/>
          <w:sz w:val="20"/>
        </w:rPr>
        <w:t>Item 1. Financial Statements.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ORIC PHARMACEUTICALS, INC.</w:t>
      </w:r>
    </w:p>
    <w:p>
      <w:pPr>
        <w:pStyle w:val="TextBody"/>
        <w:bidi w:val="0"/>
        <w:jc w:val="center"/>
        <w:rPr>
          <w:rFonts w:ascii="Times New Roman" w:hAnsi="Times New Roman"/>
          <w:b/>
          <w:color w:val="000000"/>
          <w:sz w:val="20"/>
        </w:rPr>
      </w:pPr>
      <w:bookmarkStart w:id="7" w:name="balance_sheets"/>
      <w:bookmarkEnd w:id="7"/>
      <w:r>
        <w:rPr>
          <w:rFonts w:ascii="Times New Roman" w:hAnsi="Times New Roman"/>
          <w:b/>
          <w:color w:val="000000"/>
          <w:sz w:val="20"/>
        </w:rPr>
        <w:t>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6716"/>
        <w:gridCol w:w="146"/>
        <w:gridCol w:w="211"/>
        <w:gridCol w:w="931"/>
        <w:gridCol w:w="166"/>
        <w:gridCol w:w="146"/>
        <w:gridCol w:w="239"/>
        <w:gridCol w:w="1057"/>
        <w:gridCol w:w="593"/>
      </w:tblGrid>
      <w:tr>
        <w:trPr/>
        <w:tc>
          <w:tcPr>
            <w:tcW w:w="6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2"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45,669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235,819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288,466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408,890</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12"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and Stockholders' Equity</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$0.0001</w:t>
            </w:r>
            <w:r>
              <w:rPr>
                <w:rFonts w:ascii="Times New Roman" w:hAnsi="Times New Roman"/>
                <w:color w:val="000000"/>
                <w:sz w:val="20"/>
              </w:rPr>
              <w:t> </w:t>
            </w:r>
            <w:r>
              <w:rPr>
                <w:rFonts w:ascii="Times New Roman" w:hAnsi="Times New Roman"/>
                <w:color w:val="000000"/>
                <w:sz w:val="18"/>
              </w:rPr>
              <w:t>par value; 200,000,000</w:t>
            </w:r>
            <w:r>
              <w:rPr>
                <w:rFonts w:ascii="Times New Roman" w:hAnsi="Times New Roman"/>
                <w:color w:val="000000"/>
                <w:sz w:val="20"/>
              </w:rPr>
              <w:t> </w:t>
            </w:r>
            <w:r>
              <w:rPr>
                <w:rFonts w:ascii="Times New Roman" w:hAnsi="Times New Roman"/>
                <w:color w:val="000000"/>
                <w:sz w:val="18"/>
              </w:rPr>
              <w:t>shares authorized; no</w:t>
            </w:r>
            <w:r>
              <w:rPr>
                <w:rFonts w:ascii="Times New Roman" w:hAnsi="Times New Roman"/>
                <w:color w:val="000000"/>
                <w:sz w:val="20"/>
              </w:rPr>
              <w:t> </w:t>
            </w:r>
            <w:r>
              <w:rPr>
                <w:rFonts w:ascii="Times New Roman" w:hAnsi="Times New Roman"/>
                <w:color w:val="000000"/>
                <w:sz w:val="18"/>
              </w:rPr>
              <w:t>shares issued and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1,000,000,000</w:t>
            </w:r>
            <w:r>
              <w:rPr>
                <w:rFonts w:ascii="Times New Roman" w:hAnsi="Times New Roman"/>
                <w:color w:val="000000"/>
                <w:sz w:val="20"/>
              </w:rPr>
              <w:t> </w:t>
            </w:r>
            <w:r>
              <w:rPr>
                <w:rFonts w:ascii="Times New Roman" w:hAnsi="Times New Roman"/>
                <w:color w:val="000000"/>
                <w:sz w:val="18"/>
              </w:rPr>
              <w:t>shares authorized; 103,636,424</w:t>
            </w:r>
            <w:r>
              <w:rPr>
                <w:rFonts w:ascii="Times New Roman" w:hAnsi="Times New Roman"/>
                <w:color w:val="000000"/>
                <w:sz w:val="20"/>
              </w:rPr>
              <w:t> </w:t>
            </w:r>
            <w:r>
              <w:rPr>
                <w:rFonts w:ascii="Times New Roman" w:hAnsi="Times New Roman"/>
                <w:color w:val="000000"/>
                <w:sz w:val="18"/>
              </w:rPr>
              <w:t>and 98,528,949</w:t>
            </w:r>
            <w:r>
              <w:rPr>
                <w:rFonts w:ascii="Times New Roman" w:hAnsi="Times New Roman"/>
                <w:color w:val="000000"/>
                <w:sz w:val="20"/>
              </w:rPr>
              <w:t> </w:t>
            </w:r>
            <w:r>
              <w:rPr>
                <w:rFonts w:ascii="Times New Roman" w:hAnsi="Times New Roman"/>
                <w:color w:val="000000"/>
                <w:sz w:val="18"/>
              </w:rPr>
              <w:t>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1,075,807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(692,242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384,362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408,890</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ORIC PHARMACEUTICALS, INC.</w:t>
      </w:r>
    </w:p>
    <w:p>
      <w:pPr>
        <w:pStyle w:val="TextBody"/>
        <w:bidi w:val="0"/>
        <w:jc w:val="center"/>
        <w:rPr>
          <w:rFonts w:ascii="Times New Roman" w:hAnsi="Times New Roman"/>
          <w:b/>
          <w:color w:val="000000"/>
          <w:sz w:val="20"/>
        </w:rPr>
      </w:pPr>
      <w:bookmarkStart w:id="8" w:name="statements_operations_comprehensive_loss"/>
      <w:bookmarkEnd w:id="8"/>
      <w:r>
        <w:rPr>
          <w:rFonts w:ascii="Times New Roman" w:hAnsi="Times New Roman"/>
          <w:b/>
          <w:color w:val="000000"/>
          <w:sz w:val="20"/>
        </w:rPr>
        <w:t>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80"/>
        <w:gridCol w:w="211"/>
        <w:gridCol w:w="1141"/>
        <w:gridCol w:w="166"/>
        <w:gridCol w:w="146"/>
        <w:gridCol w:w="211"/>
        <w:gridCol w:w="1036"/>
        <w:gridCol w:w="166"/>
        <w:gridCol w:w="146"/>
        <w:gridCol w:w="211"/>
        <w:gridCol w:w="1141"/>
        <w:gridCol w:w="166"/>
        <w:gridCol w:w="146"/>
        <w:gridCol w:w="211"/>
        <w:gridCol w:w="1036"/>
        <w:gridCol w:w="591"/>
      </w:tblGrid>
      <w:tr>
        <w:trPr/>
        <w:tc>
          <w:tcPr>
            <w:tcW w:w="3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71,782</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(77,259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(66,376</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Unrealized loss on investments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(66,568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108,012,388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78,126,257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106,749,594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74,602,994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ORIC PHARMACEUTICALS, INC.</w:t>
      </w:r>
    </w:p>
    <w:p>
      <w:pPr>
        <w:pStyle w:val="TextBody"/>
        <w:bidi w:val="0"/>
        <w:jc w:val="center"/>
        <w:rPr>
          <w:rFonts w:ascii="Times New Roman" w:hAnsi="Times New Roman"/>
          <w:sz w:val="20"/>
        </w:rPr>
      </w:pPr>
      <w:bookmarkStart w:id="9" w:name="statements_convertible_preferred_stock_s"/>
      <w:bookmarkEnd w:id="9"/>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12"/>
        <w:gridCol w:w="146"/>
        <w:gridCol w:w="146"/>
        <w:gridCol w:w="1006"/>
        <w:gridCol w:w="146"/>
        <w:gridCol w:w="146"/>
        <w:gridCol w:w="249"/>
        <w:gridCol w:w="442"/>
        <w:gridCol w:w="146"/>
        <w:gridCol w:w="146"/>
        <w:gridCol w:w="196"/>
        <w:gridCol w:w="826"/>
        <w:gridCol w:w="146"/>
        <w:gridCol w:w="146"/>
        <w:gridCol w:w="217"/>
        <w:gridCol w:w="834"/>
        <w:gridCol w:w="166"/>
        <w:gridCol w:w="146"/>
        <w:gridCol w:w="376"/>
        <w:gridCol w:w="1099"/>
        <w:gridCol w:w="166"/>
        <w:gridCol w:w="146"/>
        <w:gridCol w:w="229"/>
        <w:gridCol w:w="814"/>
        <w:gridCol w:w="413"/>
      </w:tblGrid>
      <w:tr>
        <w:trPr/>
        <w:tc>
          <w:tcPr>
            <w:tcW w:w="1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98,528,949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384,362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4,698,400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59,888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(35,767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103,486,412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1,143,845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415,557</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from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(41,492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103,636,424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1,151,764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(769,501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381,256</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91"/>
        <w:gridCol w:w="146"/>
        <w:gridCol w:w="146"/>
        <w:gridCol w:w="916"/>
        <w:gridCol w:w="146"/>
        <w:gridCol w:w="146"/>
        <w:gridCol w:w="249"/>
        <w:gridCol w:w="442"/>
        <w:gridCol w:w="146"/>
        <w:gridCol w:w="146"/>
        <w:gridCol w:w="196"/>
        <w:gridCol w:w="691"/>
        <w:gridCol w:w="146"/>
        <w:gridCol w:w="146"/>
        <w:gridCol w:w="217"/>
        <w:gridCol w:w="834"/>
        <w:gridCol w:w="166"/>
        <w:gridCol w:w="146"/>
        <w:gridCol w:w="471"/>
        <w:gridCol w:w="1049"/>
        <w:gridCol w:w="166"/>
        <w:gridCol w:w="146"/>
        <w:gridCol w:w="229"/>
        <w:gridCol w:w="815"/>
        <w:gridCol w:w="413"/>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71,021,855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243,122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(30,021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71,078,511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812,317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(592,795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219,738</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and pre-funded warrants,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14,980,313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133,269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from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(36,355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86,187,328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952,949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323,995</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ORIC PHARMACEUTICALS, INC.</w:t>
      </w:r>
    </w:p>
    <w:p>
      <w:pPr>
        <w:pStyle w:val="TextBody"/>
        <w:bidi w:val="0"/>
        <w:jc w:val="center"/>
        <w:rPr>
          <w:rFonts w:ascii="Times New Roman" w:hAnsi="Times New Roman"/>
          <w:sz w:val="20"/>
        </w:rPr>
      </w:pPr>
      <w:bookmarkStart w:id="10" w:name="statements_cash_flows"/>
      <w:bookmarkEnd w:id="10"/>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w:t>
      </w:r>
    </w:p>
    <w:tbl>
      <w:tblPr>
        <w:tblW w:w="9804" w:type="dxa"/>
        <w:jc w:val="left"/>
        <w:tblInd w:w="0" w:type="dxa"/>
        <w:tblLayout w:type="fixed"/>
        <w:tblCellMar>
          <w:top w:w="28" w:type="dxa"/>
          <w:left w:w="28" w:type="dxa"/>
          <w:bottom w:w="28" w:type="dxa"/>
          <w:right w:w="28" w:type="dxa"/>
        </w:tblCellMar>
      </w:tblPr>
      <w:tblGrid>
        <w:gridCol w:w="6231"/>
        <w:gridCol w:w="146"/>
        <w:gridCol w:w="211"/>
        <w:gridCol w:w="841"/>
        <w:gridCol w:w="166"/>
        <w:gridCol w:w="146"/>
        <w:gridCol w:w="211"/>
        <w:gridCol w:w="841"/>
        <w:gridCol w:w="1011"/>
      </w:tblGrid>
      <w:tr>
        <w:trPr/>
        <w:tc>
          <w:tcPr>
            <w:tcW w:w="6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0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premium (accretion of discount)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(189,030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(54,480</w:t>
            </w:r>
          </w:p>
        </w:tc>
        <w:tc>
          <w:tcPr>
            <w:tcW w:w="10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and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133,925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costs associated with financings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134,313</w:t>
            </w:r>
          </w:p>
        </w:tc>
        <w:tc>
          <w:tcPr>
            <w:tcW w:w="10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16,458</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59,897</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76,355</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provides a reconciliation of cash, cash equivalents and restricted cash within the balance sheets to the amounts shown in the statements of cash flows above, in thousands: </w:t>
      </w:r>
    </w:p>
    <w:tbl>
      <w:tblPr>
        <w:tblW w:w="6749" w:type="dxa"/>
        <w:jc w:val="left"/>
        <w:tblInd w:w="0" w:type="dxa"/>
        <w:tblLayout w:type="fixed"/>
        <w:tblCellMar>
          <w:top w:w="28" w:type="dxa"/>
          <w:left w:w="28" w:type="dxa"/>
          <w:bottom w:w="28" w:type="dxa"/>
          <w:right w:w="28" w:type="dxa"/>
        </w:tblCellMar>
      </w:tblPr>
      <w:tblGrid>
        <w:gridCol w:w="4146"/>
        <w:gridCol w:w="146"/>
        <w:gridCol w:w="211"/>
        <w:gridCol w:w="676"/>
        <w:gridCol w:w="146"/>
        <w:gridCol w:w="146"/>
        <w:gridCol w:w="211"/>
        <w:gridCol w:w="676"/>
        <w:gridCol w:w="39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included in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ORIC PHARMACEUTICALS, INC.</w:t>
      </w:r>
    </w:p>
    <w:p>
      <w:pPr>
        <w:pStyle w:val="TextBody"/>
        <w:bidi w:val="0"/>
        <w:jc w:val="center"/>
        <w:rPr>
          <w:rFonts w:ascii="Times New Roman" w:hAnsi="Times New Roman"/>
          <w:sz w:val="20"/>
        </w:rPr>
      </w:pPr>
      <w:bookmarkStart w:id="11" w:name="notes_to_unaudited_financial_statements"/>
      <w:bookmarkEnd w:id="11"/>
      <w:r>
        <w:rPr>
          <w:rFonts w:ascii="Times New Roman" w:hAnsi="Times New Roman"/>
          <w:b/>
          <w:color w:val="000000"/>
          <w:sz w:val="20"/>
        </w:rPr>
        <w:t>NOTES TO UNAUDITED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1. </w:t>
      </w:r>
      <w:r>
        <w:rPr>
          <w:rFonts w:ascii="Times New Roman" w:hAnsi="Times New Roman"/>
          <w:b/>
          <w:color w:val="000000"/>
          <w:sz w:val="20"/>
          <w:u w:val="single"/>
        </w:rPr>
        <w:t>Description of the Business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ORIC Pharmaceuticals, Inc. (ORIC or the Company) is a clinical-stage biopharmaceutical company dedicated to improving patients’ lives by </w:t>
      </w:r>
      <w:r>
        <w:rPr>
          <w:rFonts w:ascii="Times New Roman" w:hAnsi="Times New Roman"/>
          <w:i/>
          <w:color w:val="000000"/>
          <w:sz w:val="20"/>
          <w:u w:val="single"/>
        </w:rPr>
        <w:t>O</w:t>
      </w:r>
      <w:r>
        <w:rPr>
          <w:rFonts w:ascii="Times New Roman" w:hAnsi="Times New Roman"/>
          <w:i/>
          <w:color w:val="000000"/>
          <w:sz w:val="20"/>
        </w:rPr>
        <w:t xml:space="preserve">vercoming </w:t>
      </w:r>
      <w:r>
        <w:rPr>
          <w:rFonts w:ascii="Times New Roman" w:hAnsi="Times New Roman"/>
          <w:i/>
          <w:color w:val="000000"/>
          <w:sz w:val="20"/>
          <w:u w:val="single"/>
        </w:rPr>
        <w:t>R</w:t>
      </w:r>
      <w:r>
        <w:rPr>
          <w:rFonts w:ascii="Times New Roman" w:hAnsi="Times New Roman"/>
          <w:i/>
          <w:color w:val="000000"/>
          <w:sz w:val="20"/>
        </w:rPr>
        <w:t xml:space="preserve">esistance </w:t>
      </w:r>
      <w:r>
        <w:rPr>
          <w:rFonts w:ascii="Times New Roman" w:hAnsi="Times New Roman"/>
          <w:i/>
          <w:color w:val="000000"/>
          <w:sz w:val="20"/>
          <w:u w:val="single"/>
        </w:rPr>
        <w:t>I</w:t>
      </w:r>
      <w:r>
        <w:rPr>
          <w:rFonts w:ascii="Times New Roman" w:hAnsi="Times New Roman"/>
          <w:i/>
          <w:color w:val="000000"/>
          <w:sz w:val="20"/>
        </w:rPr>
        <w:t xml:space="preserve">n </w:t>
      </w:r>
      <w:r>
        <w:rPr>
          <w:rFonts w:ascii="Times New Roman" w:hAnsi="Times New Roman"/>
          <w:i/>
          <w:color w:val="000000"/>
          <w:sz w:val="20"/>
          <w:u w:val="single"/>
        </w:rPr>
        <w:t>C</w:t>
      </w:r>
      <w:r>
        <w:rPr>
          <w:rFonts w:ascii="Times New Roman" w:hAnsi="Times New Roman"/>
          <w:i/>
          <w:color w:val="000000"/>
          <w:sz w:val="20"/>
        </w:rPr>
        <w:t>ancer</w:t>
      </w:r>
      <w:r>
        <w:rPr>
          <w:rFonts w:ascii="Times New Roman" w:hAnsi="Times New Roman"/>
          <w:color w:val="000000"/>
          <w:sz w:val="20"/>
        </w:rPr>
        <w:t>. The Company was incorporated in Delaware in August 2014 and has offices in South San Francisco and San Diego, California. The Company’s principal operations are in the United States and the Company operates in one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the Company has devoted its primary efforts to raising capital, internal research and development activities and business development efforts, and has incurred significant operating losses and negative cash flows from operations. In August 2020, the Company licensed from Mirati Therapeutics, Inc. (Mirati) development and commercialization rights to an allosteric inhibitor program directed towards the polycomb repressive complex 2 (PRC2) and in October 2020, the Company licensed from Voronoi Inc. (Voronoi) development and commercialization rights to a brain-penetrant, orally bioavailable, irreversible inhibitor designed to selectively target epidermal growth factor receptor (EGFR) with high potency against exon 20 insertion mutations.</w:t>
      </w:r>
    </w:p>
    <w:p>
      <w:pPr>
        <w:pStyle w:val="TextBody"/>
        <w:bidi w:val="0"/>
        <w:spacing w:before="120" w:after="283"/>
        <w:jc w:val="left"/>
        <w:rPr>
          <w:rFonts w:ascii="Times New Roman" w:hAnsi="Times New Roman"/>
          <w:sz w:val="20"/>
        </w:rPr>
      </w:pPr>
      <w:r>
        <w:rPr>
          <w:rFonts w:ascii="Times New Roman" w:hAnsi="Times New Roman"/>
          <w:color w:val="000000"/>
          <w:sz w:val="20"/>
        </w:rPr>
        <w:t>As of June 30, 2026, the Company had an accumulated deficit of $769.5</w:t>
      </w:r>
      <w:r>
        <w:rPr>
          <w:rFonts w:ascii="Times New Roman" w:hAnsi="Times New Roman"/>
          <w:color w:val="FF0000"/>
          <w:sz w:val="20"/>
        </w:rPr>
        <w:t xml:space="preserve"> </w:t>
      </w:r>
      <w:r>
        <w:rPr>
          <w:rFonts w:ascii="Times New Roman" w:hAnsi="Times New Roman"/>
          <w:color w:val="000000"/>
          <w:sz w:val="20"/>
        </w:rPr>
        <w:t>million. Through June 30, 2026, all of the Company’s financial support has been provided by proceeds from the issuance of common stock and 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 Company continues its expansion, it may seek additional financing and/or strategic investments, however, there can be no assurance that any additional financing or strategic investments will be available to the Company on acceptable terms, if at all. If events or circumstances occur such that the Company does not obtain additional funding, it will most likely be required to reduce its plans and/or certain discretionary spending, which could have a material adverse effect on the Company’s ability to achieve its intended business objectives. The accompanying financial statements do not include any adjustments that might be necessary if it were unable to continue as a going concern. Management believes that it has sufficient working capital on hand to fund operations through at least the next twelve months from the date of the issuance of these financial statements.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Strategic Pipeline Prioritization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12, 2025, the Company announced a strategic pipeline prioritization to focus operational and financial resources on the continued advancement of its two lead clinical programs, rinzimetostat and enozertinib. This initiative resulted in a substantial decrease in preclinical research, primarily from the elimination of the Company’s discovery research group. This resulted in an approximately 20% workforce reduction and the Company incurred a one-time cost of approximately $1.9 million primarily related to termination benefits, including severance and healthcare-related benefits. The workforce reduction was completed in the fourth quarter of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Sales Agreement and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previously entered into an “at the market” (ATM) sales agreement with Jefferies LLC as the Company’s sales agent, to sell shares of the Company’s common stock. On February 23, 2026, pursuant to the terms of the ATM sales agreement, the Company filed a prospectus supplement to its Form S-3ASR filed on March 11, 2024, to allow the Company to sell from time to time up to $200.0 million of shares of the Company’s common stock in negotiated transactions or transactions deemed to be an ATM offering. There were no proceeds raised in ATM offerings during the three months ended June 30, 2026. During the six months ended June 30, 2026, the Company raised net proceeds in ATM offerings, including participation from healthcare specialist funds, of approximately $59.9 million through the sale of 4,698,400 shares at a weighted average purchase price of $12.96. During the three and six months ended June 30, 2025, the Company raised net proceeds in ATM offerings, including participation from healthcare specialist funds, of approximately $8.9 million through the sale of 850,000 shares at a weighted average purchase price of $10.50.</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Private Placements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23, 2025, the Company entered into a securities purchase agreement with a select group of institutional and accredited healthcare specialist investors for the private placement of 14,130,313 shares of common stock at a price of $6.50 per share and pre-funded warrants to purchase 5,100,532 shares of common stock at a purchase price of $6.4999 per pre-funded warrant, resulting in gross proceeds of $125.0 million. The purchase price per share represents a premium of approximately 18% to ORIC’s 10-day trailing volume-weighted average stock price as of deal signing on May 23, 2025. The pre-funded warrants have an exercise price of $0.0001 per share of common stock, were immediately exercisable and will remain exercisable until exercised in full. After deducting expenses related to the private placement of $0.6 million, the net proceeds to the Company from the private placement were $124.4 million. The private placement closed on May 29, 2025. On June 11, 2025, the Company filed a Form S-3 registering the shares sold in the private placement. The Form S-3 was declared effective by the Securities and Exchange Commission (SEC) on June 20,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2. </w:t>
      </w:r>
      <w:r>
        <w:rPr>
          <w:rFonts w:ascii="Times New Roman" w:hAnsi="Times New Roman"/>
          <w:b/>
          <w:color w:val="000000"/>
          <w:sz w:val="20"/>
          <w:u w:val="single"/>
        </w:rPr>
        <w:t>Basis of Presentation and Summary of Significant Accounting Policies</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financial statements have been prepared in accordance with accounting principles generally accepted in the United States (GAAP) for interim financial information and with the instructions of the SEC on Form 10-Q and Rule 10-01 of Regulation S-X. Certain information and note disclosures normally included in annual financial statements prepared in accordance with GAAP, have been omitted. The accompanying unaudited financial statements include all known adjustments necessary for a fair presentation of the results as required by GAAP. These adjustments consist primarily of normal recurring accruals and estimates that impact the carrying value of assets and liabilities. Operating results for the interim period are not necessarily indicative of future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financial statements should be read in conjunction with the audited financial statements and the related notes thereto for the year ended December 31, 2025, which are included in the Company’s Annual Report on Form 10-K for the year ended December 31, 2025 (the Annual Report). Furthermore, the Company’s significant accounting policies are disclosed in the audited financial statements for the periods ended December 31, 2025 and 2024, included in the Annual Report. Since the date of those financial statements, there have been no changes to its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chief operating decision maker (CODM) is the Company’s Chief Executive Officer. The CODM is assisted in their responsibilities of making decisions regarding resource allocation and performance assessment by the leadership team, consisting of executives, an executive vice president, a senior vice president and a vice president.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views its operations and manages its business as one operating segment, focused on the discovery and development of innovative therapies designed to counter the resistance mechanisms in cancer. Segment profit or loss is measured as the Company’s net loss as reported on the Company’s Statement of Operations and Comprehensive Loss. The Company monitors its cash and cash equivalents, short-term investments and long-term investments as reported on the Company’s Balance Sheets to determine funding for its 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assesses Company performance through the achievement of pre-clinical and clinical research goals. In addition to the Company’s Statement of Operations and Comprehensive Loss, the CODM is regularly provided with budgeted and forecasted expense information which is used to determine the Company’s liquidity needs and cash allocation.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Accounting Standards Update (ASU) 2024-03, </w:t>
      </w:r>
      <w:r>
        <w:rPr>
          <w:rFonts w:ascii="Times New Roman" w:hAnsi="Times New Roman"/>
          <w:i/>
          <w:color w:val="000000"/>
          <w:sz w:val="20"/>
        </w:rPr>
        <w:t>Income Statement - Reporting Comprehensive Income - Expense Disaggregation Disclosures (Subtopic 220 -40): Disaggregation of Income Statement Expenses</w:t>
      </w:r>
      <w:r>
        <w:rPr>
          <w:rFonts w:ascii="Times New Roman" w:hAnsi="Times New Roman"/>
          <w:color w:val="000000"/>
          <w:sz w:val="20"/>
        </w:rPr>
        <w:t>, which is intended to enhance expense disclosures by requiring additional information about specific expense categories in the notes to the financial statements. The standard is effective, as clarified by ASU 2025-01, for annual periods beginning after December 15, 2026, and interim reporting periods within annual reporting periods beginning after December 15, 2027, with early adoption permitted. The standard may be adopted prospectively or retrospectively. The Company is currently evaluating the impact of the standard on its financial statements and related disclosures.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3. </w:t>
      </w:r>
      <w:r>
        <w:rPr>
          <w:rFonts w:ascii="Times New Roman" w:hAnsi="Times New Roman"/>
          <w:b/>
          <w:color w:val="000000"/>
          <w:sz w:val="20"/>
          <w:u w:val="single"/>
        </w:rPr>
        <w:t>License Agreements and Clinical Development Collaborations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Bayer collaborations</w:t>
      </w:r>
    </w:p>
    <w:p>
      <w:pPr>
        <w:pStyle w:val="TextBody"/>
        <w:bidi w:val="0"/>
        <w:spacing w:before="120" w:after="283"/>
        <w:jc w:val="left"/>
        <w:rPr>
          <w:rFonts w:ascii="Times New Roman" w:hAnsi="Times New Roman"/>
          <w:sz w:val="20"/>
        </w:rPr>
      </w:pPr>
      <w:r>
        <w:rPr>
          <w:rFonts w:ascii="Times New Roman" w:hAnsi="Times New Roman"/>
          <w:color w:val="000000"/>
          <w:sz w:val="20"/>
        </w:rPr>
        <w:t>On July 7, 2026, the Company entered into a clinical trial collaboration and supply agreement with Bayer Consumer Care AG (Bayer) to provide their androgen receptor (AR) inhibitor, Nubeqa</w:t>
      </w:r>
      <w:r>
        <w:rPr>
          <w:rFonts w:ascii="Times New Roman" w:hAnsi="Times New Roman"/>
          <w:color w:val="000000"/>
          <w:sz w:val="13"/>
        </w:rPr>
        <w:t>®</w:t>
      </w:r>
      <w:r>
        <w:rPr>
          <w:rFonts w:ascii="Times New Roman" w:hAnsi="Times New Roman"/>
          <w:color w:val="000000"/>
          <w:sz w:val="20"/>
        </w:rPr>
        <w:t xml:space="preserve"> (darolutamide), at no cost for use in the Himalayas-1 global Phase 3 registrational trial. The Company will conduct and sponsor the Himalayas-1 trial and maintain full economic ownership and control of rinzimetostat.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14, 2024, the Company entered into a clinical trial collaboration and supply agreement with Bayer, as amended effective October 23, 2024, to evaluate rinzimetostat in combination with darolutamide. The Company will continue to conduct and sponsor the ongoing Phase 1b clinical trial, and Bayer will provide darolutamide for the trial. The Company maintains full economic ownership and control of rinzimetostat.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Johnson &amp; Johnson collaborations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29, 2024, the Company entered into a clinical supply agreement with Janssen Research &amp; Development, LLC, a Johnson &amp; Johnson company (Johnson &amp; Johnson), to evaluate enozertinib in combination with subcutaneous (SC) amivantamab, Johnson &amp; Johnson’s fully-human EGFR-MET bispecific antibody. The Company will continue to conduct and sponsor the ongoing Phase 1b clinical trial, and Johnson &amp; Johnson will provide SC amivantamab for the trial. The Company maintains full economic ownership and control of enozertinib.</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On July 10, 2024, the Company entered into a clinical trial collaboration and supply agreement with Johnson &amp; Johnson, to evaluate rinzimetostat in combination with Erleada</w:t>
      </w:r>
      <w:r>
        <w:rPr>
          <w:rFonts w:ascii="Times New Roman" w:hAnsi="Times New Roman"/>
          <w:color w:val="000000"/>
          <w:sz w:val="13"/>
        </w:rPr>
        <w:t>®</w:t>
      </w:r>
      <w:r>
        <w:rPr>
          <w:rFonts w:ascii="Times New Roman" w:hAnsi="Times New Roman"/>
          <w:color w:val="000000"/>
          <w:sz w:val="20"/>
        </w:rPr>
        <w:t xml:space="preserve"> (apalutamide), Johnson &amp; Johnson’s AR inhibitor. The Company will continue to conduct and sponsor the ongoing Phase 1b clinical trial, and Johnson &amp; Johnson will provide apalutamide for the trial. The Company maintains full economic ownership and control of rinzimetostat.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Voronoi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19, 2020, the Company entered into a license and collaboration agreement (Voronoi License Agreement) with Voronoi. The Voronoi License Agreement gives the Company access to Voronoi’s preclinical stage EGFR exon 20 insertion mutation program, including a lead product candidate now designated as enozertinib. Under the Voronoi License Agreement, Voronoi granted the Company an exclusive, sublicensable license under Voronoi’s rights to certain patent applications directed to certain small molecule compounds that bind to EGFR with one or more exon 20 insertion mutations and certain related know-how, in each case, to develop and commercialize certain licensed compounds and licensed products incorporating any such compound in the ORIC Territory, defined as worldwide other than in the People’s Republic of China, Hong Kong, Macau and Taiwan. Pursuant to an amendment to the Voronoi License Agreement that the Company entered into with Voronoi on March 20, 2024, the Company also obtained the right to conduct and control certain clinical trials for the licensed products at specified clinical sites within Voronoi’s territory to support the development and commercialization of licensed products in the ORIC Territory. Under the Voronoi License Agreement, Voronoi had the right to perform certain mutually agreed upon development activities. Except for Voronoi's right to participate in such development activities, the Company is wholly responsible for development and commercialization of licensed products in the ORIC Territory. In addition, the Company is obligated to use commercially reasonable efforts to develop and commercialize at least one licensed product in certain major markets in the ORIC Territory.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financial obligations under the Voronoi License Agreement included an upfront payment of $5.0 million in cash and the issuance to Voronoi of 283,259 shares of the Company’s common stock, valued at approximately $6.8 million, issued pursuant to a stock issuance agreement entered into between the parties on October 19, 2020. The number of shares issued pursuant to the stock issuance agreement was based on a price of $28.24 per share, representing a premium of 25% to the 30-day trailing volume weighted average trading price of the Company’s common stock. The shares were issued in a private placement in reliance on Section 4(a)(2) of the Securities Act of 1933, as amended (Securities Act), for transactions by an issuer not involving any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Voronoi License Agreement, Voronoi was responsible for certain research and development costs up to a predetermined threshold. Upon achievement of the predetermined threshold in the second quarter of 2022, Voronoi chose to opt out of participation in and funding of future development activities. The Company is also obligated to make milestone payments to Voronoi upon the achievement of certain events. Upon the achievement of certain development and regulatory milestones with respect to the first licensed product, the Company is obligated to pay Voronoi up to a maximum of $111.0 million. Upon the achievement of certain commercial milestones with respect to the first licensed product, the Company is obligated to pay Voronoi up to a maximum of $225.0 million. If the Company pursues a second licensed product, the Company could pay Voronoi up to an additional $272.0 million in success-based milestones. In addition, the Company is obligated to pay royalties on net sales of licensed products in the ORIC Territory. In the third quarter of 2022, the Company made a development milestone payment to Voronoi in the amount of $5.0 million, which was recorded in acquired in-process 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earlier terminated, the Voronoi License Agreement will continue in effect until the expiration of all royalty payment obligations. Following the expiration of the Voronoi License Agreement, the Company will retain its licenses under the intellectual property Voronoi licensed to it on a royalty-free basis. The Company and Voronoi may each terminate the Voronoi License Agreement if the other party materially breaches the terms of such agreement, subject to specified notice and cure provisions, or enters into bankruptcy or insolvency proceedings. Voronoi may also terminate the agreement if the Company discontinues development of licensed products for a specified period of time. The Company also has the right to terminate the Voronoi License Agreement without cause by providing prior notice to Voronoi.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Voronoi terminates the Voronoi License Agreement for cause, or if the Company terminates the Voronoi License Agreement without cause, then the Company is obligated to grant a nonexclusive license to Voronoi under certain of the Company’s patents and know-how and to assign to Voronoi certain of its regulatory filings for licensed compounds and licensed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Mirati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3, 2020, the Company entered into a license agreement (Mirati License Agreement) with Mirati. Under the Mirati License Agreement, Mirati granted the Company a worldwide, exclusive, sublicensable, royalty-free license under Mirati’s rights to certain patents and patent applications directed to certain small molecule compounds that bind to and inhibit PRC2 and certain related know-how, in each case, to develop and commercialize certain licensed compounds and licensed products incorporating any such compounds. Under the Mirati License Agreement, the Company is wholly responsible for development and commercialization of licensed products. In addition, the Company is obligated to use commercially reasonable efforts to develop and commercialize at least one licensed product in certain major markets.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obligation under the Mirati License Agreement was an upfront payment of 588,235 shares of ORIC common stock, valued at approximately $13.0 million based upon the closing price of the Company’s common stock on the acquisition date. The number of shares issued was based on a price of $34.00 per share, representing a premium of 10% to the 60-day trailing volume-weighted average trading price of the Company’s common stock. The shares were issued in a private placement in reliance on Section 4(a)(2) of the Securities Act for transactions by an issuer not involving any public offering. During the eighteen-month period following the date of the agreement, Mirati was subject to certain transfer restrictions, and the parties agreed to negotiate and enter into a registration rights agreement, with respect to the shares. The Company is not obligated to pay Mirati milestones or royalties.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earlier terminated, the Mirati License Agreement will continue in effect on a country-by-country and licensed product-by-licensed product basis until the later of (a) the expiration of the last valid claim of a licensed patent covering such licensed product in such country or (b) ten years after the first commercial sale of such licensed product in such country. Following the expiration of the Mirati License Agreement, the Company will retain its licenses under the intellectual property Mirati licensed to it on a royalty-free basis. ORIC and Mirati may each terminate the Mirati License Agreement if the other party materially breaches the terms of such agreement, subject to specified notice and cure provisions, or enters into bankruptcy or insolvency proceedings. Mirati may terminate the agreement if the Company challenges any of the patent rights licensed to the Company by Mirati or it discontinues development of licensed products for a specified period of time. The Company also has the right to terminate the Mirati License Agreement without cause by providing prior notice to Mirati.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8, 2023, Bristol Myers Squibb (BMS) and Mirati announced that they entered into a definitive merger agreement under which BMS through a subsidiary will acquire all of the outstanding shares of Mirati common stock. The Mirati License Agreement continued in effect upon consummation of the transaction, which closed on January 23, 2024.</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4. </w:t>
      </w:r>
      <w:r>
        <w:rPr>
          <w:rFonts w:ascii="Times New Roman" w:hAnsi="Times New Roman"/>
          <w:b/>
          <w:color w:val="000000"/>
          <w:sz w:val="20"/>
          <w:u w:val="single"/>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consisted of the following (in thousands): </w:t>
      </w:r>
    </w:p>
    <w:p>
      <w:pPr>
        <w:pStyle w:val="TextBody"/>
        <w:bidi w:val="0"/>
        <w:jc w:val="left"/>
        <w:rPr/>
      </w:pPr>
      <w:r>
        <w:rPr/>
        <w:t> </w:t>
      </w:r>
    </w:p>
    <w:tbl>
      <w:tblPr>
        <w:tblW w:w="6755" w:type="dxa"/>
        <w:jc w:val="left"/>
        <w:tblInd w:w="0" w:type="dxa"/>
        <w:tblLayout w:type="fixed"/>
        <w:tblCellMar>
          <w:top w:w="28" w:type="dxa"/>
          <w:left w:w="28" w:type="dxa"/>
          <w:bottom w:w="28" w:type="dxa"/>
          <w:right w:w="28" w:type="dxa"/>
        </w:tblCellMar>
      </w:tblPr>
      <w:tblGrid>
        <w:gridCol w:w="3261"/>
        <w:gridCol w:w="146"/>
        <w:gridCol w:w="267"/>
        <w:gridCol w:w="858"/>
        <w:gridCol w:w="166"/>
        <w:gridCol w:w="146"/>
        <w:gridCol w:w="357"/>
        <w:gridCol w:w="1143"/>
        <w:gridCol w:w="411"/>
      </w:tblGrid>
      <w:tr>
        <w:trPr/>
        <w:tc>
          <w:tcPr>
            <w:tcW w:w="3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hardware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5. </w:t>
      </w:r>
      <w:r>
        <w:rPr>
          <w:rFonts w:ascii="Times New Roman" w:hAnsi="Times New Roman"/>
          <w:b/>
          <w:color w:val="000000"/>
          <w:sz w:val="20"/>
          <w:u w:val="single"/>
        </w:rPr>
        <w:t>Accrued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liabilities consisted of the following (in thousands): </w:t>
      </w:r>
    </w:p>
    <w:p>
      <w:pPr>
        <w:pStyle w:val="TextBody"/>
        <w:bidi w:val="0"/>
        <w:jc w:val="left"/>
        <w:rPr/>
      </w:pPr>
      <w:r>
        <w:rPr/>
        <w:t> </w:t>
      </w:r>
    </w:p>
    <w:tbl>
      <w:tblPr>
        <w:tblW w:w="6935" w:type="dxa"/>
        <w:jc w:val="left"/>
        <w:tblInd w:w="0" w:type="dxa"/>
        <w:tblLayout w:type="fixed"/>
        <w:tblCellMar>
          <w:top w:w="28" w:type="dxa"/>
          <w:left w:w="28" w:type="dxa"/>
          <w:bottom w:w="28" w:type="dxa"/>
          <w:right w:w="28" w:type="dxa"/>
        </w:tblCellMar>
      </w:tblPr>
      <w:tblGrid>
        <w:gridCol w:w="3481"/>
        <w:gridCol w:w="146"/>
        <w:gridCol w:w="267"/>
        <w:gridCol w:w="858"/>
        <w:gridCol w:w="146"/>
        <w:gridCol w:w="146"/>
        <w:gridCol w:w="357"/>
        <w:gridCol w:w="1143"/>
        <w:gridCol w:w="3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and manufacturing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 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16,593</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6. </w:t>
      </w:r>
      <w:r>
        <w:rPr>
          <w:rFonts w:ascii="Times New Roman" w:hAnsi="Times New Roman"/>
          <w:b/>
          <w:color w:val="000000"/>
          <w:sz w:val="20"/>
          <w:u w:val="single"/>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available-for-sale investments consisted of the following (in thousands):</w:t>
      </w:r>
    </w:p>
    <w:p>
      <w:pPr>
        <w:pStyle w:val="TextBody"/>
        <w:bidi w:val="0"/>
        <w:jc w:val="left"/>
        <w:rPr/>
      </w:pPr>
      <w:r>
        <w:rPr/>
        <w:t> </w:t>
      </w:r>
    </w:p>
    <w:tbl>
      <w:tblPr>
        <w:tblW w:w="8385" w:type="dxa"/>
        <w:jc w:val="left"/>
        <w:tblInd w:w="0" w:type="dxa"/>
        <w:tblLayout w:type="fixed"/>
        <w:tblCellMar>
          <w:top w:w="28" w:type="dxa"/>
          <w:left w:w="28" w:type="dxa"/>
          <w:bottom w:w="28" w:type="dxa"/>
          <w:right w:w="28" w:type="dxa"/>
        </w:tblCellMar>
      </w:tblPr>
      <w:tblGrid>
        <w:gridCol w:w="2396"/>
        <w:gridCol w:w="146"/>
        <w:gridCol w:w="211"/>
        <w:gridCol w:w="781"/>
        <w:gridCol w:w="246"/>
        <w:gridCol w:w="246"/>
        <w:gridCol w:w="295"/>
        <w:gridCol w:w="591"/>
        <w:gridCol w:w="246"/>
        <w:gridCol w:w="246"/>
        <w:gridCol w:w="270"/>
        <w:gridCol w:w="616"/>
        <w:gridCol w:w="266"/>
        <w:gridCol w:w="246"/>
        <w:gridCol w:w="211"/>
        <w:gridCol w:w="781"/>
        <w:gridCol w:w="591"/>
      </w:tblGrid>
      <w:tr>
        <w:trPr/>
        <w:tc>
          <w:tcPr>
            <w:tcW w:w="2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227,546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227,278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227,546</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227,278</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123,549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122,799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123,549</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122,799</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235,263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235,819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235,263</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235,819</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110,532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110,532</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110,762</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The Company has determined that there were no material declines in fair value of its investments due to credit-related factors as of June 30, 2026 and December 31, 2025. Credit loss is limited due to the nature of the investments.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7. </w:t>
      </w:r>
      <w:r>
        <w:rPr>
          <w:rFonts w:ascii="Times New Roman" w:hAnsi="Times New Roman"/>
          <w:b/>
          <w:color w:val="000000"/>
          <w:sz w:val="20"/>
          <w:u w:val="single"/>
        </w:rPr>
        <w:t>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fair-value hierarchy, which prioritizes the inputs used in measuring fair value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Observable inputs such as quoted prices in active markets;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Level 2: Inputs, other than the quoted prices in active markets, that are observable either directly or indirectly; and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Level 3: Unobservable inputs in which there is little or no market data, which require the reporting entity to develop its own assumptions.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amounts of the Company’s interest receivable, included in prepaid expenses and other current assets, accounts payable and accrued liabilities are generally considered to be representative of their fair value because of their short-term nature. The Company’s investments, which may include money market funds and available-for-sale investments consisting of U.S. treasury securities, certificates of deposit and high-quality, marketable debt instruments of corporations and government sponsored enterprises, are measured at fair value in accordance with the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are the major categories of assets measured at fair value on a recurring basis (in thousands):</w:t>
      </w:r>
    </w:p>
    <w:p>
      <w:pPr>
        <w:pStyle w:val="TextBody"/>
        <w:bidi w:val="0"/>
        <w:jc w:val="left"/>
        <w:rPr/>
      </w:pPr>
      <w:r>
        <w:rPr/>
        <w:t> </w:t>
      </w:r>
    </w:p>
    <w:tbl>
      <w:tblPr>
        <w:tblW w:w="9152" w:type="dxa"/>
        <w:jc w:val="left"/>
        <w:tblInd w:w="0" w:type="dxa"/>
        <w:tblLayout w:type="fixed"/>
        <w:tblCellMar>
          <w:top w:w="28" w:type="dxa"/>
          <w:left w:w="28" w:type="dxa"/>
          <w:bottom w:w="28" w:type="dxa"/>
          <w:right w:w="28" w:type="dxa"/>
        </w:tblCellMar>
      </w:tblPr>
      <w:tblGrid>
        <w:gridCol w:w="2211"/>
        <w:gridCol w:w="146"/>
        <w:gridCol w:w="211"/>
        <w:gridCol w:w="781"/>
        <w:gridCol w:w="246"/>
        <w:gridCol w:w="246"/>
        <w:gridCol w:w="211"/>
        <w:gridCol w:w="781"/>
        <w:gridCol w:w="246"/>
        <w:gridCol w:w="246"/>
        <w:gridCol w:w="239"/>
        <w:gridCol w:w="391"/>
        <w:gridCol w:w="246"/>
        <w:gridCol w:w="246"/>
        <w:gridCol w:w="239"/>
        <w:gridCol w:w="391"/>
        <w:gridCol w:w="246"/>
        <w:gridCol w:w="246"/>
        <w:gridCol w:w="211"/>
        <w:gridCol w:w="781"/>
        <w:gridCol w:w="591"/>
      </w:tblGrid>
      <w:tr>
        <w:trPr/>
        <w:tc>
          <w:tcPr>
            <w:tcW w:w="2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Money market funds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350,077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350,077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350,077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387,560</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387,560</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387,560</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Money market funds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45,669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45,669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346,581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346,581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392,250</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392,250</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392,250</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18"/>
        </w:rPr>
      </w:pPr>
      <w:r>
        <w:rPr>
          <w:rFonts w:ascii="Times New Roman" w:hAnsi="Times New Roman"/>
          <w:color w:val="000000"/>
          <w:sz w:val="18"/>
        </w:rPr>
        <w:t>(1) Included in cash and cash equivalents in accompanying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transfers between levels occurred during either of the reporting periods presented.</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8. </w:t>
      </w:r>
      <w:r>
        <w:rPr>
          <w:rFonts w:ascii="Times New Roman" w:hAnsi="Times New Roman"/>
          <w:b/>
          <w:color w:val="000000"/>
          <w:sz w:val="20"/>
          <w:u w:val="single"/>
        </w:rPr>
        <w:t>Stockholders’ Equity and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there were 1,273,172 shares available for future issuance under the 2020 Equity Incentive Plan and 139,725 shares available for future issuance under the 2022 Inducement Equity Incentive Plan. The 2020 Equity Incentive Plan provides for the grants of stock options and other equity-based awards to employees, non-employee directors and consultants of the Company. The 2022 Inducement Equity Incentive Plan provides for the grants of equity-based awards to individuals not previously employees or non-employee directors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summarizes the total stock-based compensation expense included in the Company’s statements of operations and comprehensive loss for the periods presented (in thousands):</w:t>
      </w:r>
    </w:p>
    <w:p>
      <w:pPr>
        <w:pStyle w:val="TextBody"/>
        <w:bidi w:val="0"/>
        <w:jc w:val="left"/>
        <w:rPr/>
      </w:pPr>
      <w:r>
        <w:rPr/>
        <w:t> </w:t>
      </w:r>
    </w:p>
    <w:tbl>
      <w:tblPr>
        <w:tblW w:w="8656" w:type="dxa"/>
        <w:jc w:val="left"/>
        <w:tblInd w:w="0" w:type="dxa"/>
        <w:tblLayout w:type="fixed"/>
        <w:tblCellMar>
          <w:top w:w="28" w:type="dxa"/>
          <w:left w:w="28" w:type="dxa"/>
          <w:bottom w:w="28" w:type="dxa"/>
          <w:right w:w="28" w:type="dxa"/>
        </w:tblCellMar>
      </w:tblPr>
      <w:tblGrid>
        <w:gridCol w:w="3651"/>
        <w:gridCol w:w="211"/>
        <w:gridCol w:w="571"/>
        <w:gridCol w:w="346"/>
        <w:gridCol w:w="346"/>
        <w:gridCol w:w="211"/>
        <w:gridCol w:w="571"/>
        <w:gridCol w:w="146"/>
        <w:gridCol w:w="146"/>
        <w:gridCol w:w="211"/>
        <w:gridCol w:w="676"/>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stock option activity for the six months ended June 30, 2026: </w:t>
      </w:r>
    </w:p>
    <w:p>
      <w:pPr>
        <w:pStyle w:val="TextBody"/>
        <w:bidi w:val="0"/>
        <w:jc w:val="left"/>
        <w:rPr/>
      </w:pPr>
      <w:r>
        <w:rPr/>
        <w:t> </w:t>
      </w:r>
    </w:p>
    <w:tbl>
      <w:tblPr>
        <w:tblW w:w="8328" w:type="dxa"/>
        <w:jc w:val="left"/>
        <w:tblInd w:w="0" w:type="dxa"/>
        <w:tblLayout w:type="fixed"/>
        <w:tblCellMar>
          <w:top w:w="28" w:type="dxa"/>
          <w:left w:w="28" w:type="dxa"/>
          <w:bottom w:w="28" w:type="dxa"/>
          <w:right w:w="28" w:type="dxa"/>
        </w:tblCellMar>
      </w:tblPr>
      <w:tblGrid>
        <w:gridCol w:w="2941"/>
        <w:gridCol w:w="146"/>
        <w:gridCol w:w="146"/>
        <w:gridCol w:w="1036"/>
        <w:gridCol w:w="166"/>
        <w:gridCol w:w="146"/>
        <w:gridCol w:w="266"/>
        <w:gridCol w:w="590"/>
        <w:gridCol w:w="146"/>
        <w:gridCol w:w="146"/>
        <w:gridCol w:w="285"/>
        <w:gridCol w:w="706"/>
        <w:gridCol w:w="146"/>
        <w:gridCol w:w="146"/>
        <w:gridCol w:w="267"/>
        <w:gridCol w:w="858"/>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13,902,239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17,150,371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10,066,764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stock option awards to employees, executives, directors, and other service providers was estimated at the date of grant using the Black-Scholes-Merton option pricing model with the following assumptions: </w:t>
      </w:r>
    </w:p>
    <w:p>
      <w:pPr>
        <w:pStyle w:val="TextBody"/>
        <w:bidi w:val="0"/>
        <w:jc w:val="left"/>
        <w:rPr/>
      </w:pPr>
      <w:r>
        <w:rPr/>
        <w:t> </w:t>
      </w:r>
    </w:p>
    <w:tbl>
      <w:tblPr>
        <w:tblW w:w="5500" w:type="dxa"/>
        <w:jc w:val="left"/>
        <w:tblInd w:w="0" w:type="dxa"/>
        <w:tblLayout w:type="fixed"/>
        <w:tblCellMar>
          <w:top w:w="28" w:type="dxa"/>
          <w:left w:w="28" w:type="dxa"/>
          <w:bottom w:w="28" w:type="dxa"/>
          <w:right w:w="28" w:type="dxa"/>
        </w:tblCellMar>
      </w:tblPr>
      <w:tblGrid>
        <w:gridCol w:w="2131"/>
        <w:gridCol w:w="146"/>
        <w:gridCol w:w="1516"/>
        <w:gridCol w:w="146"/>
        <w:gridCol w:w="156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3.73% - 4.26%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3.92% - 4.43%</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84.89% - 87.57%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83.11% - 85.76%</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5.50 - 6.08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5.50 - 6.08</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recognized stock-based compensation expense related to the vesting of stock options of $5.8 million and $5.5 million during the three months ended June 30, 2026 and 2025, respectively, and $11.4 million and $11.0 million during the six months ended June 30, 2026 and 2025, respectively. Total unrecognized compensation expense related to outstanding unvested stock-option awards as of June 30, 2026, was $40.6 million, which is expected to be recognized over a weighted-average remaining service period of 2.8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restricted stock unit activity for the six months ended June 30, 2026:</w:t>
      </w:r>
    </w:p>
    <w:p>
      <w:pPr>
        <w:pStyle w:val="TextBody"/>
        <w:bidi w:val="0"/>
        <w:jc w:val="left"/>
        <w:rPr/>
      </w:pPr>
      <w:r>
        <w:rPr/>
        <w:t> </w:t>
      </w:r>
    </w:p>
    <w:tbl>
      <w:tblPr>
        <w:tblW w:w="6005" w:type="dxa"/>
        <w:jc w:val="left"/>
        <w:tblInd w:w="0" w:type="dxa"/>
        <w:tblLayout w:type="fixed"/>
        <w:tblCellMar>
          <w:top w:w="28" w:type="dxa"/>
          <w:left w:w="28" w:type="dxa"/>
          <w:bottom w:w="28" w:type="dxa"/>
          <w:right w:w="28" w:type="dxa"/>
        </w:tblCellMar>
      </w:tblPr>
      <w:tblGrid>
        <w:gridCol w:w="2941"/>
        <w:gridCol w:w="146"/>
        <w:gridCol w:w="191"/>
        <w:gridCol w:w="1219"/>
        <w:gridCol w:w="166"/>
        <w:gridCol w:w="146"/>
        <w:gridCol w:w="313"/>
        <w:gridCol w:w="692"/>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Grant-Date </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recognized stock-based compensation expense related to the vesting of restricted stock units of $1.1 million and $0.9 million during the three months ended June 30, 2026 and 2025, respectively, and $2.2 million and $1.7 million during the six months ended June 30, 2026 and 2025, respectively. Total unrecognized compensation expense related to restricted stock units as of June 30, 2026, was $7.4 million, which is expected to be recognized over a weighted-average remaining service period of 2.0 years.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stock-based compensation expense related to the Employee Stock Purchase Plan (ESPP) of $0.2 million and $0.2 million during the three months ended June 30, 2026 and 2025, respectively, and $0.4 million and $0.4 million during the six months ended June 30, 2026 and 2025, respectively.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2025, the Company completed a private placement in which it sold 14,130,313 shares of common stock together with pre-funded warrants to purchase 5,100,532 shares of common stock with an exercise price of $0.0001 per share of common stock. Each pre-funded warrant was immediately exercisable and will remain exercisable until exercised in full. The Company performed an assessment upon issuance of the pre-funded warrants to determine proper classification in the financial statements based on the specific terms of the pre-funded warrants. The Company determined the pre-funded warrants met all the criteria for equity classification and recorded them in additional paid-in capital. There were 4,463,636 pre-funded warrants that remained outstanding and unexercised as of June 30,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w:t>
      </w:r>
    </w:p>
    <w:p>
      <w:pPr>
        <w:pStyle w:val="TextBody"/>
        <w:bidi w:val="0"/>
        <w:jc w:val="left"/>
        <w:rPr/>
      </w:pPr>
      <w:r>
        <w:rPr/>
        <w:t> </w:t>
      </w:r>
    </w:p>
    <w:tbl>
      <w:tblPr>
        <w:tblW w:w="8966" w:type="dxa"/>
        <w:jc w:val="left"/>
        <w:tblInd w:w="0" w:type="dxa"/>
        <w:tblLayout w:type="fixed"/>
        <w:tblCellMar>
          <w:top w:w="28" w:type="dxa"/>
          <w:left w:w="28" w:type="dxa"/>
          <w:bottom w:w="28" w:type="dxa"/>
          <w:right w:w="28" w:type="dxa"/>
        </w:tblCellMar>
      </w:tblPr>
      <w:tblGrid>
        <w:gridCol w:w="2971"/>
        <w:gridCol w:w="146"/>
        <w:gridCol w:w="1036"/>
        <w:gridCol w:w="146"/>
        <w:gridCol w:w="146"/>
        <w:gridCol w:w="146"/>
        <w:gridCol w:w="1036"/>
        <w:gridCol w:w="146"/>
        <w:gridCol w:w="146"/>
        <w:gridCol w:w="146"/>
        <w:gridCol w:w="1036"/>
        <w:gridCol w:w="146"/>
        <w:gridCol w:w="146"/>
        <w:gridCol w:w="146"/>
        <w:gridCol w:w="1036"/>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17,150,371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14,249,525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17,150,371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14,249,525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1,124,458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923,573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1,124,458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923,573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18,274,829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15,173,098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18,274,829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15,173,098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item_7_managements_discussion_analysis_f"/>
      <w:bookmarkEnd w:id="12"/>
      <w:r>
        <w:rPr>
          <w:rFonts w:ascii="Times New Roman" w:hAnsi="Times New Roman"/>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financial statements and related notes included elsewhere in this quarterly report on Form 10-Q and our audited financial statements and notes thereto as of and for the year ended December 31, 2025 and the related Management’s Discussion and Analysis of Financial Condition and Results of Operations, both of which are contained in our Annual Report on Form 10-K for the year ended December 31, 2025, filed with the SEC on February 23, 2026. This discussion contains forward-looking statements that involve risks and uncertainties, including those described in the section titled “Special Note Regarding Forward-Looking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included elsewhere in this report.</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ORIC Pharmaceuticals is a clinical-stage biopharmaceutical company dedicated to improving patients’ lives by </w:t>
      </w:r>
      <w:r>
        <w:rPr>
          <w:rFonts w:ascii="Times New Roman" w:hAnsi="Times New Roman"/>
          <w:i/>
          <w:color w:val="000000"/>
          <w:sz w:val="20"/>
          <w:u w:val="single"/>
        </w:rPr>
        <w:t>O</w:t>
      </w:r>
      <w:r>
        <w:rPr>
          <w:rFonts w:ascii="Times New Roman" w:hAnsi="Times New Roman"/>
          <w:i/>
          <w:color w:val="000000"/>
          <w:sz w:val="20"/>
        </w:rPr>
        <w:t>vercoming</w:t>
      </w:r>
      <w:r>
        <w:rPr>
          <w:rFonts w:ascii="Times New Roman" w:hAnsi="Times New Roman"/>
          <w:color w:val="000000"/>
          <w:sz w:val="20"/>
        </w:rPr>
        <w:t xml:space="preserve"> </w:t>
      </w:r>
      <w:r>
        <w:rPr>
          <w:rFonts w:ascii="Times New Roman" w:hAnsi="Times New Roman"/>
          <w:i/>
          <w:color w:val="000000"/>
          <w:sz w:val="20"/>
          <w:u w:val="single"/>
        </w:rPr>
        <w:t>R</w:t>
      </w:r>
      <w:r>
        <w:rPr>
          <w:rFonts w:ascii="Times New Roman" w:hAnsi="Times New Roman"/>
          <w:i/>
          <w:color w:val="000000"/>
          <w:sz w:val="20"/>
        </w:rPr>
        <w:t xml:space="preserve">esistance </w:t>
      </w:r>
      <w:r>
        <w:rPr>
          <w:rFonts w:ascii="Times New Roman" w:hAnsi="Times New Roman"/>
          <w:i/>
          <w:color w:val="000000"/>
          <w:sz w:val="20"/>
          <w:u w:val="single"/>
        </w:rPr>
        <w:t>I</w:t>
      </w:r>
      <w:r>
        <w:rPr>
          <w:rFonts w:ascii="Times New Roman" w:hAnsi="Times New Roman"/>
          <w:i/>
          <w:color w:val="000000"/>
          <w:sz w:val="20"/>
        </w:rPr>
        <w:t xml:space="preserve">n </w:t>
      </w:r>
      <w:r>
        <w:rPr>
          <w:rFonts w:ascii="Times New Roman" w:hAnsi="Times New Roman"/>
          <w:i/>
          <w:color w:val="000000"/>
          <w:sz w:val="20"/>
          <w:u w:val="single"/>
        </w:rPr>
        <w:t>C</w:t>
      </w:r>
      <w:r>
        <w:rPr>
          <w:rFonts w:ascii="Times New Roman" w:hAnsi="Times New Roman"/>
          <w:i/>
          <w:color w:val="000000"/>
          <w:sz w:val="20"/>
        </w:rPr>
        <w:t>ancer.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fully integrated research and development team is advancing a diverse pipeline of innovative clinical therapies designed to counter resistance mechanisms in cancer by leveraging our expertise within three specific areas: hormone-dependent cancers, precision oncology and key tumor dependencies.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clinical stage product candidates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Rinzimetostat, an allosteric inhibitor of the PRC2 via the embryonic ectoderm development (EED) subunit, for which we licensed development and commercialization rights from Mirati under the Mirati License Agreement. We filed and cleared an Investigational New Drug application (IND) with the Food and Drug Administration (FDA) for rinzimetostat in the fourth quarter of 2021. We completed a Phase 1b trial of rinzimetostat as a single-agent, in patients with advanced prostate cancer and reported initial Phase 1b data from this trial in January 2024, demonstrating potential best-in-class drug properties, including an approximate 20-hour clinical half-life, robust target engagement and a favorable safety profile. In the first half of 2024, we initiated dosing of rinzimetostat in combination with apalutamide as well as in combination with darolutamide, as part of the ongoing Phase 1b trial in patients with metastatic castration resistant prostate cancer (mCRPC). We also announced that we entered into clinical trial collaboration and supply agreements with Johnson &amp; Johnson and Bayer, to evaluate rinzimetostat in combination with Erleada</w:t>
      </w:r>
      <w:r>
        <w:rPr>
          <w:rFonts w:ascii="Times New Roman" w:hAnsi="Times New Roman"/>
          <w:color w:val="000000"/>
          <w:sz w:val="13"/>
        </w:rPr>
        <w:t>®</w:t>
      </w:r>
      <w:r>
        <w:rPr>
          <w:color w:val="000000"/>
        </w:rPr>
        <w:t xml:space="preserve"> </w:t>
      </w:r>
      <w:r>
        <w:rPr>
          <w:rFonts w:ascii="Times New Roman" w:hAnsi="Times New Roman"/>
          <w:color w:val="000000"/>
          <w:sz w:val="20"/>
        </w:rPr>
        <w:t>(apalutamide), Johnson &amp; Johnson’s AR inhibitor, and Nubeqa</w:t>
      </w:r>
      <w:r>
        <w:rPr>
          <w:rFonts w:ascii="Times New Roman" w:hAnsi="Times New Roman"/>
          <w:color w:val="000000"/>
          <w:sz w:val="13"/>
        </w:rPr>
        <w:t>®</w:t>
      </w:r>
      <w:r>
        <w:rPr>
          <w:color w:val="000000"/>
        </w:rPr>
        <w:t xml:space="preserve"> </w:t>
      </w:r>
      <w:r>
        <w:rPr>
          <w:rFonts w:ascii="Times New Roman" w:hAnsi="Times New Roman"/>
          <w:color w:val="000000"/>
          <w:sz w:val="20"/>
        </w:rPr>
        <w:t>(darolutamide), Bayer’s AR inhibitor. In November 2025, we announced the completion of the dose exploration portion of the Phase 1b trial and the selection of provisional recommended Phase 2 doses (RP2Ds) of rinzimetostat to be tested in combination with the approved doses of darolutamide and apalutamide in the dose optimization portion of the Phase 1b trial: 400 mg and 600 mg QD of rinzimetostat in combination with 600 mg BID of darolutamide; and 600 mg, 800 mg and 1,200 mg QD of rinzimetostat in combination with 240 mg QD of apalutamide. Also, in November 2025, we reported Phase 1b dose exploration data in 20 patients with mCRPC, who were treated with rinzimetostat in combination with 240 mg QD of apalutamide or with 600 mg BID of darolutamide. As of the November 2025 data presentation cutoff date, rinzimetostat demonstrated PSA responses and circulating tumor DNA (ctDNA) reductions across all rinzimetostat dose levels and at comparable rates in combination with apalutamide or with darolutamide. Both combination regimens demonstrated a safety profile compatible with long-term dosing, with the vast majority of treatment-related adverse events (TRAEs) Grade 1 or 2 in severity and consistent with PRC2 and AR inhibition. As of the November 2025 data presentation cutoff date, only one patient experienced a Grade 3 TRAE, and there were no Grade 4 or Grade 5 AEs attributed to rinzimetostat, apalutamide or darolutamide. In March 2026, we reported Phase 1b dose optimization data in mCRPC patients previously treated with abiraterone and the selection of 400 mg QD rinzimetostat in combination with darolutamide as the recommended Phase 3 dose (RP3D). As of the March 2026 data presentation cutoff dates, at a median follow-up of approximately 5 months, landmark 5-month radiographic progression-free survival (rPFS) of 84% was consistent with a competitor PRC2 inhibitor benchmark, and better than the benchmarks for standard of care therapies in post-androgen receptor pathway inhibitor (ARPI) mCRPC. Importantly, the data demonstrated a highly differentiated, potential best-in-disease safety profile, with significantly lower frequency and severity of adverse events, nearly all Grade 1 or 2, and fewer treatment modifications than competitor regimens. In July 2026, we announced that we initiated our first global Phase 3 registrational trial for rinzimetostat in combination with darolutamide, named Himalayas-1, in post-abiraterone mCRPC patients. We also announced that we entered into a clinical trial collaboration and supply agreement with Bayer to provide darolutamide at no cost for use in the Himalayas-1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Enozertinib, a brain-penetrant, orally bioavailable, irreversible inhibitor targeting EGFR exon 20 insertion and EGFR atypical mutations, for which we licensed development and commercialization rights from Voronoi under the Voronoi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License Agreement. In the fourth quarter of 2021, we filed a Clinical Trial Application (CTA) in South Korea for enozertinib, which was cleared in the first quarter of 2022. We also filed and cleared an IND with the FDA for enozertinib in the third quarter of 2022. Enozertinib is being evaluated in Phase 1b trials in EGFR exon 20 insertion and P-loop and alpha C-helix compressing (PACC) mutated non-small cell lung cancer (NSCLC), which allow enrollment of patients with CNS metastases that are either treated or untreated but asymptomatic. We reported initial Phase 1b data with enozertinib as a monotherapy in patients with EGFR exon 20 insertion mutations at the European Society for Medical Oncology (ESMO) Congress in October 2023, which demonstrated both systemic and intracranial activity across multiple dose levels in a heavily pre-treated patient population. In April 2024, we announced the selection of two provisional RP2Ds of enozertinib at 80 mg and 120 mg QD. In December 2025, we reported additional Phase 1b data at the 2025 ESMO Asia Congress in treatment-naïve and in previously treated NSCLC patients with EGFR exon 20 insertion and EGFR atypical mutations. EGFR atypical mutations are a heterogeneous group of non-classical mutations, with PACC mutations comprising the largest subset. Enozertinib achieved highly competitive systemic response rates as well as profound antitumor activity in the CNS in EGFR exon 20 insertion and EGFR PACC patients. Enozertinib also demonstrated a well-tolerated safety profile in EGFR exon 20 insertion and EGFR atypical patients, with no significant off-target toxicity and manageable on-target toxicity, resulting in low rate of discontinuations. Based on these data, 80 mg QD oral enozertinib has been selected as the monotherapy dose for potential Phase 3 development. In January 2025, we announced that we entered into a clinical trial and supply agreement with Johnson &amp; Johnson to evaluate enozertinib in combination with amivantamab and hyaluronidase-lpuj subcutaneous injection (SC amivantamab) for the first line treatment of patients with advanced NSCLC with EGFR exon 20 insertion mutations, and we initiated a Phase 1b trial in the first quarter of 2025. Dosing and follow-up continues in NSCLC patients with exon 20 insertion mutations, including as a monotherapy, in combination with SC amivantamab and in combination with chemotherapy, as well as in NSCLC patients with EGFR PACC mutations as a monotherapy. We expect to report data in the second half of 2026 in 1L NSCLC patients with EGFR exon 20 insertion mutations as a monotherapy and in combination with SC amivantamab, as well as in 1L NSCLC patients with EGFR atypical mutations as a monotherapy.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Beyond these clinical stage product candidates, we have historically engaged in the research and development of multiple discovery stage precision medicines targeting other hallmark cancer resistance mechanisms. On August 12, 2025, we announced a strategic pipeline prioritization to focus operational and financial resources on the continued advancement of our two lead clinical programs, rinzimetostat and enozertinib. This initiative resulted in a substantial decrease in preclinical research, primarily from the elimination of our discovery research group.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since the commencement of our operations. Our net loss for the six months ended June 30, 2026, was $77.3 million and we had an accumulated deficit of $769.5 million as of June 30, 2026. Our losses and accumulated deficit have resulted primarily from costs incurred in connection with research and development activities including in-licensing and to a lesser extent from general and administrative costs associated with our operations. We expect to incur significant losses for the foreseeable future, and we anticipate these losses will increase significantly as we continue our development of rinzimetostat and enozertinib and any future product candidates through preclinical development and into clinical trials as we seek regulatory approval for these product candidates. Our net losses may fluctuate significantly from period to period, depending on the timing of and expenditures on our planned research and development activities.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account for a significant portion of our operating expenses and consist primarily of external and internal costs incurred in connection with the discovery and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External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to third parties in connection with the clinical development of our product candidates, including contract research organizations (CROs) and consultants;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products for use in our preclinical studies and clinical trials, including payments to contract manufacturing organizations (CMOs) and consultants;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to third parties in connection with the preclinical development of our product candidates, including outsourced professional scientific development services, consulting research fees and sponsored research arrangements with third parties;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allocated facilities, depreciation and other expenses, which include direct or allocated expenses for IT, rent and maintenance of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incur in-process research and development expense as we acquire or in-license assets from other parties. Technology acquisitions are expensed or capitalized based upon the asset achieving technological feasibility in accordance with management’s assessment regarding the ultimate recoverability of the amounts paid and the potential for alternative future use. Acquired in-process research and development costs that have no alternative future use are immediately expensed.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Internal expenses include employee-related costs such as salaries, related benefits and non-cash stock-based compensation expense for employees engaged in research and development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costs by program, clinical or preclinical. We do not track internal costs by program because these costs are deployed across multiple programs and, as such, are not separately classified.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in later stages of clinical development generally have higher development costs than those in earlier stages, primarily due to the increased size and duration of later-stage clinical trials. As a result, we expect that our research and development expenses will increase substantially in the foreseeable future as we continue to invest in research and development activities related to developing our product candidates, including investments in manufacturing, advance our programs into later stages of development, conduct additional clinical trials, maintain, expand, protect and enforce our intellectual property portfolio, and hire additional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our product candidates is highly uncertain, and we do not believe it is possible at this time to accurately project the nature, timing and estimated costs of the efforts necessary to complete the development of, and obtain regulatory approval for, any of our product candidates. To the extent our product candidates continue to advance into clinical trials, as well as advance into larger and later-stage clinical trials, our expenses will increase substantially and may become more variable. We are also unable to predict when, if ever, we will generate revenue from our product candidates to offset these expenses. Our expenditures on current and future preclinical and clinical development programs are subject to numerous uncertainties in timing and cost to completion. The duration, costs and timing of preclinical studies and clinical trials and development of our product candidates will depend on a variety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preclinical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current research and development programs and to establish new ones;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 appropriate safety profile with IND-enabling toxicology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patient enrollment in, and the initiation and completion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completion of clinical trials with safety, tolerability and efficacy profiles that are satisfactory to the FDA or any comparable foreign regulatory authority;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receipt of regulatory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terms of any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licensing or collaboration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of our future collaborators,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retaining research and development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commercial manufacturing capabilities or making arrangements with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and timely delivery of commercial-grade product formulations that can be used in our planned clinical trials and for commercial launch;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maintaining, defending and enforcing patent claims and other intellectual property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launching commercial sales of our product candidates, if approved, whether alone or in collaboration with others;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our products following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changes in the outcome of any of these factors could significantly impact the costs, timing and viability associated with the development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12, 2025, we announced a strategic pipeline prioritization to focus operational and financial resources on the continued advancement of our two lead clinical programs, rinzimetostat and enozertinib. This initiative resulted in a substantial decrease in preclinical research, primarily from the elimination of our discovery research group. This resulted in an approximately 20% workforce reduction and we have incurred a one-time cost of approximately $1.9 million primarily related to termination benefits, including severance and healthcare-related benefits. The workforce reduction was completed in the fourth quarter of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related benefits and stock-based compensation expense for personnel in executive, finance and administrative functions. General and administrative expenses also include allocated facilities, depreciation and other expenses, which include direct or allocated expenses for rent and maintenance of facilities and insurance, not otherwise included in research and development expenses, as well as professional fees for legal, patent, consulting, investor and public relations, accounting and audit services. We expect that our general and administrative expenses will increase substantially in the foreseeable future as we increase our headcount to support the continued research and development of our programs and the growth of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primarily consists of interest income generated from our interest-bearing money market accounts and investments.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and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77"/>
        <w:gridCol w:w="211"/>
        <w:gridCol w:w="736"/>
        <w:gridCol w:w="166"/>
        <w:gridCol w:w="146"/>
        <w:gridCol w:w="211"/>
        <w:gridCol w:w="736"/>
        <w:gridCol w:w="166"/>
        <w:gridCol w:w="146"/>
        <w:gridCol w:w="211"/>
        <w:gridCol w:w="631"/>
        <w:gridCol w:w="166"/>
        <w:gridCol w:w="146"/>
        <w:gridCol w:w="211"/>
        <w:gridCol w:w="736"/>
        <w:gridCol w:w="166"/>
        <w:gridCol w:w="146"/>
        <w:gridCol w:w="211"/>
        <w:gridCol w:w="736"/>
        <w:gridCol w:w="166"/>
        <w:gridCol w:w="146"/>
        <w:gridCol w:w="211"/>
        <w:gridCol w:w="736"/>
        <w:gridCol w:w="691"/>
      </w:tblGrid>
      <w:tr>
        <w:trPr/>
        <w:tc>
          <w:tcPr>
            <w:tcW w:w="2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12,544</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13,133</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(13,133</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(10,883</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$36.3 million for the three months ended June 30, 2026, compared to $30.5 million for the same period in 2025, an increase of $5.7 million. The increase was driven by an increase in external expenses related to the advancement of rinzimetostat, offset primarily by lower enozertinib costs due to timing of manufacturing and clinical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research and development expenses were $67.7 million, compared to $55.2 million for the same period in 2025, an increase of $12.5 million. The increase was primarily driven by an increase in external expenses related to the advancement of rinzimetostat, offset by lower enozertinib costs due to timing of manufacturing and clinical costs as well as lower preclinical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external and internal costs for the three and six months ended June 30, 2026 and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7"/>
        <w:gridCol w:w="211"/>
        <w:gridCol w:w="676"/>
        <w:gridCol w:w="146"/>
        <w:gridCol w:w="146"/>
        <w:gridCol w:w="211"/>
        <w:gridCol w:w="676"/>
        <w:gridCol w:w="146"/>
        <w:gridCol w:w="146"/>
        <w:gridCol w:w="211"/>
        <w:gridCol w:w="631"/>
        <w:gridCol w:w="166"/>
        <w:gridCol w:w="146"/>
        <w:gridCol w:w="211"/>
        <w:gridCol w:w="676"/>
        <w:gridCol w:w="146"/>
        <w:gridCol w:w="146"/>
        <w:gridCol w:w="211"/>
        <w:gridCol w:w="676"/>
        <w:gridCol w:w="146"/>
        <w:gridCol w:w="146"/>
        <w:gridCol w:w="211"/>
        <w:gridCol w:w="676"/>
        <w:gridCol w:w="611"/>
      </w:tblGrid>
      <w:tr>
        <w:trPr/>
        <w:tc>
          <w:tcPr>
            <w:tcW w:w="28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costs: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rinzimetostat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enozertinib</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Preclinical, other unallocated and discontinued costs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external costs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Internal costs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research and development expenses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$9.0 million for the three months ended June 30, 2026, compared to $8.5 million for the same period in 2025, an increase of $0.5 million. The increase was primarily due to higher professional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general and administrative expenses were $17.2 million, compared to $16.6 million, an increase of $0.6 million. The increase was primarily due to higher personnel costs and professional services.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previously entered into an ATM sales agreement with Jefferies LLC as our sales agent, to sell shares of our common stock. On February 23, 2026, pursuant to the terms of the ATM sales agreement, we filed a prospectus supplement to our Form S-3ASR filed on March 11, 2024, to allow us to sell from time to time up to $200.0 million of shares of our common stock in negotiated transactions or transactions deemed to be an ATM offering. There were no proceeds raised in ATM offerings during the three months ended June 30, 2026. During the six months ended June 30, 2026, we raised net proceeds in ATM offerings, including participation from healthcare specialist funds, of approximately $59.9 million through the sale of 4,698,400 shares at a weighted average purchase price of $12.96. During the three and six months ended June 30, 2025, we raised net proceeds in ATM offerings, including participation from healthcare specialist funds, of approximately $8.9 million through the sale of 850,000 shares at a weighted average purchase price of $10.50.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23, 2025, we entered into a securities purchase agreement with a select group of institutional and accredited healthcare specialist investors for the private placement of 14,130,313 shares of common stock at a price of $6.50 per share and pre-funded warrants to purchase 5,100,532 shares of common stock at a purchase price of $6.4999 per pre-funded warrant, resulting in gross proceeds of $125.0 million. The private placement closed on May 29,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revenue. We do not expect to generate any meaningful revenue unless and until we obtain regulatory approval of and commercialize any of our product candidates, and we do not know when, or if at all, that will occur. We will continue to require substantial additional capital to develop our product candidates and fund operations for the foreseeable future. Moreover, we expect our expenses to increase in connection with our ongoing activities, particularly as we continue the development of and seek regulatory approvals for our product candidates. Further, we are subject to all the risks incident in the development of new pharmaceutical products, and we may encounter unforeseen expenses, difficulties, complications, delays and other unknown factors that may harm our business. Our expenses will increase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our product candidates through preclinical and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approvals for any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develop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marketing, medical affairs and distribution infrastructure to commercialize any product candidates for which we may obtain marketing approval and intend to commercialize on our own or jointly;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operational, financial and management systems and increase personnel, including personnel to support our development, manufacturing and commercialization efforts and our operations as a public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protect and enforce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other product candidates and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current cash, cash equivalents and investments will be sufficient to fund our current operating plan into the second half of 2028. However, our forecast of the period of time through which our financial resources will be adequate to support our operations is a forward-looking statement that involves risks and uncertainties, and actual results could vary materially. In order to complete the development of our product candidates and to build the sales, marketing and distribution infrastructure that we believe will be necessary to commercialize our product candidates, if approved, we will require substantial additional funding. Until we can generate a sufficient amount of revenue from the commercialization of our product candidates, we may seek to raise any necessary additional capital through the sale of equity, debt financings or other capital sources, which could include income from collaborations, strategic partnerships or marketing, distribution or licensing arrangements with third parties or from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collaborations, strategic partnerships and other similar arrangements with third parties, we may be required to grant rights to develop and market product candidates that we would otherwise prefer to develop and market ourselves. We may be unable to raise additional funds or to enter into such agreements or arrangements on favorable terms, or at all. If we are unable to raise additional funds when needed, we may be required to delay, reduce or eliminate our product development or future commercialization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our projections of operating capital requirements on our current operating plan, which is based on several assumptions that may prove to be incorrect and we may use all of our available capital resources sooner than we expect. Because of the numerous risks and uncertainties associated with research, development and commercialization of product candidates, we are unable to estimate the exact amount and timing of our working capital requirements. Our future funding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researching and developing our product candidates, and conducting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future activities, including product sales, medical affairs, marketing, manufacturing and distribution, for any of our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manufacturing commercial-grade products and sufficient inventory to support commercial launch;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if any, received from commercial sale of our products, should any of our product candidates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hiring new employees to support our continued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establish and maintain collaborations on favorable terms,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other product candidates and technologies;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amount of sales of, or milestone payments related to or royalties on, our current or future product candidates,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sources and uses of our cash (in thousands):</w:t>
      </w:r>
    </w:p>
    <w:p>
      <w:pPr>
        <w:pStyle w:val="TextBody"/>
        <w:bidi w:val="0"/>
        <w:jc w:val="left"/>
        <w:rPr/>
      </w:pPr>
      <w:r>
        <w:rPr/>
        <w:t> </w:t>
      </w:r>
    </w:p>
    <w:tbl>
      <w:tblPr>
        <w:tblW w:w="8554" w:type="dxa"/>
        <w:jc w:val="left"/>
        <w:tblInd w:w="0" w:type="dxa"/>
        <w:tblLayout w:type="fixed"/>
        <w:tblCellMar>
          <w:top w:w="28" w:type="dxa"/>
          <w:left w:w="28" w:type="dxa"/>
          <w:bottom w:w="28" w:type="dxa"/>
          <w:right w:w="28" w:type="dxa"/>
        </w:tblCellMar>
      </w:tblPr>
      <w:tblGrid>
        <w:gridCol w:w="5766"/>
        <w:gridCol w:w="146"/>
        <w:gridCol w:w="211"/>
        <w:gridCol w:w="736"/>
        <w:gridCol w:w="166"/>
        <w:gridCol w:w="146"/>
        <w:gridCol w:w="211"/>
        <w:gridCol w:w="781"/>
        <w:gridCol w:w="391"/>
      </w:tblGrid>
      <w:tr>
        <w:trP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during the six months ended June 30, 2026, of $64.0 million was attributable to our net loss of $77.3 million and $1.8 million in changes to working capital, offset by non-cash expenses of $15.0 million, which were primarily driven by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during the six months ended June 30, 2025, of $63.4 million was attributable to our net loss of $66.4 million and $9.3 million in changes to working capital, offset by non-cash expenses of $12.3 million, which were primarily driven by stock-based compensation offset by accretion of discount on investments.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during the six months ended June 30, 2026, of $6.1 million was primarily attributable to purchases of investments, net of maturities.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during the six months ended June 30, 2025, of $54.5 million was primarily attributable to purchases of investments, net of maturities.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during the six months ended June 30, 2026, of $62.0 million was attributable to net proceeds received from our ATM offerings and proceeds received from stock option exercises and common stock issued under our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during the six months ended June 30, 2025, of $134.3 million was attributable to net proceeds received from our private placement in May 2025, the ATM offering in June 2025 and proceeds received from common stock issued under our ESPP and stock option exercises.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on our financial statements, which have been prepared in accordance with generally accepted accounting principles in the United States (US GAAP). The preparation of these financial statements in conformity with US GAAP requires management to make estimates and assumptions that impact the reported amounts of assets, liabilities, expenses, and the disclosure of contingent assets and liabilities in our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Actual results may differ materially from these estimates under different assumptions or conditions. There have been no significant changes in our critical accounting policies as discussed in our Annual Report on Form 10-K for the year ended December 31, 2025.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Transition from Emerging Growth Company Status and 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31, 2025, we ceased to be an “emerging growth company” (EGC), as defined in the Jumpstart Our Business Startups Act of 2012, due to the occurrence of the fifth anniversary of our initial public offering. Accordingly, we may no longer take advantage of EGC-related reduced reporting requirements that are otherwise applicable to public companies. EGC status also exempted us from having to provide an auditor attestation of internal control over financial reporting under Sarbanes-Oxley Act Section 404(b).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31, 2025, we also ceased to be a “smaller reporting company” as defined in the Exchange Act because the market value of our stock held by non-affiliates exceeded $700 million as of June 30, 2025. Beginning with our Quarterly Report on Form 10-Q for the quarter ended March 31, 2026, we are no longer permitted to take advantage of the reduced reporting requirements applicable to smaller reporting companies, but will remain a non-accelerated filer through 2026. Due to the loss of smaller reporting company status, we expect our public company compliance costs to increase.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3" w:name="item_7a_quantitative_qualitative_disclos"/>
      <w:bookmarkEnd w:id="13"/>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objective of our investment activities is to preserve principal and liquidity while at the same time maximizing the income we receive without significantly increasing risk. To achieve this objective, we may invest in money market funds, U.S. Treasury notes, and high-quality marketable debt instruments of corporations and government sponsored enterprises with contractual maturity dates of generally less than two years, in accordance with an investment policy approved by our audit committee. Some of the financial instruments that we invest in could be subject to market risk, meaning that a change in prevailing interest rates may cause the value of the instruments to fluctuate. For example, if we purchase a security that was issued with a fixed interest rate and the prevailing interest rate later rises, the value of that security will probably decline. To minimize this risk, we intend to maintain a portfolio which may include a variety of securities, including money market funds, government debt securities, certificates of deposit and commercial paper, all with various maturity dates. As of June 30, 2026, we had cash, cash equivalents and investments of $387.6 million, consisting of interest-bearing money market funds, certificates of deposit, securities issued by the U.S. Treasury and marketable debt instruments of government-sponsored enterprises. Due to the nature of our cash equivalents and investments, an immediate 100 basis point change in interest rates would not have a material effect on their fair market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generally affects us by increasing our cost of labor, clinical trial and manufacturing costs. We do not believe that inflation, interest rate changes or exchange rate fluctuations had a significant impact on our results of operations for any periods presented herein.</w:t>
      </w:r>
    </w:p>
    <w:p>
      <w:pPr>
        <w:pStyle w:val="TextBody"/>
        <w:bidi w:val="0"/>
        <w:spacing w:before="120" w:after="283"/>
        <w:jc w:val="left"/>
        <w:rPr>
          <w:rFonts w:ascii="Times New Roman" w:hAnsi="Times New Roman"/>
          <w:sz w:val="20"/>
        </w:rPr>
      </w:pPr>
      <w:bookmarkStart w:id="14" w:name="item_9a_controls_procedures"/>
      <w:bookmarkEnd w:id="14"/>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reports filed or submitted under the Exchange Act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 As of June 30, 2026,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were effective at a reasonable assurance level as of June 30, 2026.</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Rules 13a-15(d) and 15d-15(d) of the Exchange Act that occurred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5" w:name="part_ii_other_information"/>
      <w:bookmarkEnd w:id="15"/>
      <w:r>
        <w:rPr>
          <w:rFonts w:ascii="Times New Roman" w:hAnsi="Times New Roman"/>
          <w:b/>
          <w:color w:val="000000"/>
          <w:sz w:val="20"/>
        </w:rPr>
        <w:t>PART II</w:t>
      </w:r>
      <w:r>
        <w:rPr>
          <w:rFonts w:ascii="Times New Roman" w:hAnsi="Times New Roman"/>
          <w:color w:val="000000"/>
          <w:sz w:val="20"/>
        </w:rPr>
        <w:t>—</w:t>
      </w:r>
      <w:r>
        <w:rPr>
          <w:rFonts w:ascii="Times New Roman" w:hAnsi="Times New Roman"/>
          <w:b/>
          <w:color w:val="000000"/>
          <w:sz w:val="20"/>
        </w:rPr>
        <w:t>OTHER INFORMATION</w:t>
      </w:r>
    </w:p>
    <w:p>
      <w:pPr>
        <w:pStyle w:val="TextBody"/>
        <w:bidi w:val="0"/>
        <w:jc w:val="left"/>
        <w:rPr/>
      </w:pPr>
      <w:r>
        <w:rPr/>
        <w:t> </w:t>
      </w:r>
    </w:p>
    <w:p>
      <w:pPr>
        <w:pStyle w:val="TextBody"/>
        <w:bidi w:val="0"/>
        <w:jc w:val="left"/>
        <w:rPr>
          <w:rFonts w:ascii="Times New Roman" w:hAnsi="Times New Roman"/>
          <w:sz w:val="20"/>
        </w:rPr>
      </w:pPr>
      <w:bookmarkStart w:id="16" w:name="item_1_legal_proceedings"/>
      <w:bookmarkEnd w:id="16"/>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 </w:t>
      </w:r>
    </w:p>
    <w:p>
      <w:pPr>
        <w:pStyle w:val="TextBody"/>
        <w:bidi w:val="0"/>
        <w:spacing w:before="120" w:after="283"/>
        <w:jc w:val="left"/>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carefully consider the risks described below, as well as the other information in this quarterly report on Form 10-Q, including our financial statements and related notes and the section titled “Management’s Discussion and Analysis of Financial Condition and Results of Operations,”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Additional risks and uncertainties not presently known to us or that we currently deem immaterial also may impair our business operations and the market price of our common stock.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 factor summary</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following summarizes the most material risks that make an investment in our securities risky or speculative. If any of the following risks occur or persist, our business, financial condition, results of operations and prospects could be materially harmed and the market price of our common stock could significantly decline:</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financial position and need for additional capital</w:t>
      </w:r>
      <w:r>
        <w:rPr>
          <w:rFonts w:ascii="Times New Roman" w:hAnsi="Times New Roman"/>
          <w:color w:val="000000"/>
          <w:sz w:val="20"/>
        </w:rPr>
        <w:t xml:space="preserve"> </w:t>
      </w:r>
    </w:p>
    <w:p>
      <w:pPr>
        <w:pStyle w:val="TextBody"/>
        <w:bidi w:val="0"/>
        <w:spacing w:before="20" w:after="283"/>
        <w:jc w:val="left"/>
        <w:rPr>
          <w:color w:val="000000"/>
        </w:rPr>
      </w:pPr>
      <w:r>
        <w:rPr>
          <w:color w:val="000000"/>
        </w:rPr>
        <w:t>•</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our limited operating history;</w:t>
      </w:r>
    </w:p>
    <w:p>
      <w:pPr>
        <w:pStyle w:val="TextBody"/>
        <w:bidi w:val="0"/>
        <w:spacing w:before="20" w:after="283"/>
        <w:jc w:val="left"/>
        <w:rPr>
          <w:color w:val="000000"/>
        </w:rPr>
      </w:pPr>
      <w:r>
        <w:rPr>
          <w:color w:val="000000"/>
        </w:rPr>
        <w:t>•</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our past and anticipated future net losses;</w:t>
      </w:r>
    </w:p>
    <w:p>
      <w:pPr>
        <w:pStyle w:val="TextBody"/>
        <w:bidi w:val="0"/>
        <w:spacing w:before="20" w:after="283"/>
        <w:jc w:val="left"/>
        <w:rPr>
          <w:color w:val="000000"/>
        </w:rPr>
      </w:pPr>
      <w:r>
        <w:rPr>
          <w:color w:val="000000"/>
        </w:rPr>
        <w:t>•</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uncertainty related to our ability to generate revenue and achieve profitability; and</w:t>
      </w:r>
    </w:p>
    <w:p>
      <w:pPr>
        <w:pStyle w:val="TextBody"/>
        <w:bidi w:val="0"/>
        <w:spacing w:before="20" w:after="283"/>
        <w:jc w:val="left"/>
        <w:rPr>
          <w:color w:val="000000"/>
        </w:rPr>
      </w:pPr>
      <w:r>
        <w:rPr>
          <w:color w:val="000000"/>
        </w:rPr>
        <w:t>•</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our need for substantial additional capital to finance our operations.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development and commercialization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substantial dependence on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challenges in developing and commercializing additional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limitations in regulatory approval processes and product candidate approvals;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clinical trials that may fail to satisfactorily demonstrate safety and efficacy;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product candidates that may cause significant adverse events, toxicities or other undesirable side effects;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potentially negative clinical trial results and challenges related to FDA, European Medicines Agency (EMA) and other regulatory requirements;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deficiencies in audits and verification procedures of our clinical trial data;</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adverse effects due to third parties investigating the same product candidates as us in the same or different territories or indications;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potential delays or difficulties in enrollment and/or maintenance of patients in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impact of global pandemics or other public health emergencies on our operations;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inability to develop effective companion diagnostic tests for our product candidates, if necessary;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unexpected difficulties in developing our potential programs;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profitability challenges related to our focus on developing our product candidates for particular indications;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significant competition in the markets in which we operate;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production difficulties encountered by our third-party manufacturers;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methods of product candidate manufacturing or formulation;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market unacceptance of our product candidates in the medical community;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limited market opportunities for our product candidates;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inability to augment our product pipeline through acquisitions and in-licenses;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potential for unfavorable third-party coverage and reimbursement practices of our product candidates;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limitations of our product liability and insurance coverage.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regulatory, legal and other compliance matters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difficulties in our ability to obtain regulatory approval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FDA, EMA and other regulatory authorities’ unacceptance of data from trials conducted outside their jurisdiction;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inability to obtain and maintain regulatory approval of our product candidates in various jurisdictions;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burdens related to post-marketing regulatory requirements and oversight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impacts of regulatory authorities’ enforcement of laws and regulations prohibiting promotion of off-label uses;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challenges related to FDA approval of required companion diagnostic tests;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challenges related to our ability to obtain Fast Track designation from the FDA for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limitations to our ability to obtain orphan drug designation or maintain orphan drug exclusivity for our product candidates;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delays or barriers to secure approval for accelerated registration pathways;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to current regulations and future legislation that impact us adversely;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inadequate funding of regulatory agencies that may hinder timely product development or commercialization;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potential misconduct or noncompliance with regulatory standards by our employees and certain third parties;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limitations on our ability to use overseas vendors and service providers;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potential incompliance with U.S. healthcare laws and requirements;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potential incompliance with environmental, health and safety laws and regulations;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potential incompliance with anti-bribery, anti-corruption, export (including data export), trade sanctions and import laws or regulations;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any potential incompliance with enhanced trade tariffs, import restrictions, export restrictions, Chinese regulations or other trade barriers.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employee matters and management of our growth</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challenges to our ability to attract and retain highly skilled executive officers and employees;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difficulties in our ability to sell or market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potential inability to grow and manage growth of our organization;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security or data privacy breaches or incidents impacting our internal systems or those of commercial third parties;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natural disasters and other catastrophic events that may cause damage or disruption;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SEC civil enforcement action against one of our officers;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potential inability to use our net operating losses and tax credits to offset future taxable income;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tax laws and additional effort and expenses incurred as a result;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complexities related to contracting with foreign third parties or international marketing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international military conflicts, and any resulting trade war, could result in increased manufacturing costs;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inflation may adversely affect us by increasing our costs.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challenges to our ability to protect our intellectual property and proprietary technologies;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potentially narrow scope of patent protection we receive;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potential threats to our competitive advantage;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ability to operate without infringing intellectual property rights and claims of infringement by third parties;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potential inability to obtain or maintain rights to our product candidates through acquisitions and in-licenses;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costs associated with protecting or enforcing our patents and our licensors’ patents;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intellectual property litigation that may lead to unfavorable publicity;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unfavorable outcomes from necessary derivation proceedings;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patent reform legislation and related uncertainties and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changes in U.S. and international intellectual property laws and related challenges;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claims challenging ownership of our intellectual property, including internationally;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patent terms and access to extensions that may not adequately protect our competitive position;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patent protection and dependence on compliance with various regulations;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potentially limited name recognition in our markets that depend on protection of our trademarks and trade names;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difficulties in protecting confidentiality of our trade secrets;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claims of wrongful disclosure of our confidential information or trade secrets;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claims of wrongful hiring or disclosure or use of competitors’ confidential information or trade secrets;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product development and commercialization rights that are subject to unfavorable terms and conditions of licensors;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potential business relationship disruptions due to failure to comply with license agreement obligations;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patent protection and prosecution that may be dependent on third parties;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intellectual property discovered through government funding and potential limits on our exclusive rights.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dependence on third parties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dependence on third-party suppliers and the loss of these third-party suppliers or their inability to supply us could harm our business;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dependence on third parties for production, preclinical studies and clinical trials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acquisitions or strategic partnerships that may increase capital requirements, dilution and debt;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to establish commercially reasonable collaborations;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difficulties related to collaborations for development and commercialization of product candidates.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the securities markets and ownership of our common stock</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market conditions and price that may limit your ability to sell our common stock;</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volatility of our stock price;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adverse or misleading industry analyst publications regarding our business or market;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significant fluctuations in our operating results;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principal stockholders and management that may exert significant control over stockholder approval matters;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large sales of our stock that could cause our stock price to fall;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failure of our internal controls that could impair our ability to produce accurate financial statements;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limitations of our disclosure controls and procedures;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liabilities related to securities litigation;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intention not to pay dividends;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provisions of our certificate of incorporation and bylaws that may prevent or delay a change in control;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exclusive forum provisions in our bylaws that may limit stockholder ability to obtain a favorable judicial forum.</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a limited operating history, have not initiated or completed any large-scale or pivotal clinical trials, and have no products approved for commercial sale, which may make it difficult for you to evaluate our current business and likelihood of success and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upon which you can evaluate our business and prospects. We commenced operations in 2014, have no products approved for commercial sale and have not generated any revenue. Drug development is a highly uncertain undertaking and involves a substantial degree of risk. We have initiated clinical trials for a limited number of our product candidates. To date, we have devoted substantially all of our resources to research and development activities, including with respect to the preclinical and clinical development of rinzimetostat, enozertinib and our other product candidates, in-licensing of external programs, business planning, establishing and maintaining our intellectual property portfolio, hiring personnel, raising capital and providing general and administrative support for these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yet demonstrated our ability to successfully initiate and complete any large-scale or pivotal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net losses since our inception, and we expect to continue to incur significant net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net losses since our inception, have not generated any revenue from product sales to date and have financed our operations principally through public offerings and private placements of our common stock and other derivative securities. Our net loss was $77.3 million for the six months ended June 30, 2026, and as of June 30, 2026, we had an accumulated deficit of $769.5 million.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develop and market additional potential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ability to generate revenue and achieve profitability depends significantly on our ability to achieve several objectives relating to the development and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entirely on the successful development and commercialization of product candidates. We have no products approved for commercial sale and do not anticipate generating any revenue from product sales for the next several years, if ever. Our ability to generate revenue and achieve profitability depends significantly on our ability, or any current or future collaborator’s ability, to achieve several objectives,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and timely completion of preclinical and clinical development of rinzimetostat, enozertinib and our other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relationships with CROs and clinical sites for the clinical development of rinzimetostat, enozertinib and our other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receipt of marketing approvals from applicable regulatory authorities for any product candidates for which we successfully complete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 efficient and scalable manufacturing process for our product candidates, including obtaining finished products that are appropriately packaged for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commercial launch following any marketing approval, including the development of a commercial infrastructure, whether in-house or with one or more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continued acceptable safety profile following any marketing approval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acceptance of our product candidates by patients, the medical community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satisfying any required post-marketing approval commitments to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assessing and developing new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maintaining and expanding patent protection, trade secret protection and regulatory exclusivity, both in the United States and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protecting our rights in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defending against third-party interference or infringement claims,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entering into, on favorable terms, any collaboration, licensing or other arrangements that may be necessary or desirable to develop, manufacture or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coverage and adequate reimbursement by third-party payors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addressing any competing therapies and technological and market developments;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attracting, hiring and retaining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our product candidates and advance our other programs. Even if one or more of the product candidates that we develop is approved for commercial sale, we anticipate incurring significant costs associated with sales, marketing,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and distribution activities. Our expenses could increase beyond expectations if we are required by the FDA, the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are not permitted to market or promote our product candidates before we receive marketing approval from the FDA. Accordingly, we will need to obtain substantial additional funding in order to continue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$387.6 million in cash, cash equivalents and investments. Based on our current operating plan, we believe that our existing cash, cash equivalents and investments will be sufficient to fund our operations into the second half of 2028. Our estimate as to how long we expect our existing cash, cash equivalents, and investments,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the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 conditions and changing circumstances, some of which may be beyond our control, could impair our ability to access our existing cash, cash equivalents and investments and to timely pay key vendors and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and changing circumstances, some of which may be beyond our control, could impair our ability to access our existing cash, cash equivalents and investments and to timely pay key vendors and others. For example, on March 10, 2023, Silicon Valley Bank (SVB), where we maintained certain accounts, was placed into receivership with the Federal Deposit Insurance Corporation (FDIC), which resulted in all funds held at SVB being temporarily inaccessible by SVB’s customers. If other banks and financial institutions with whom we have banking relationships enter receivership or become insolvent in the future, we may be unable to access, and we may lose, some or all of our existing cash, cash equivalents and investments to the extent those funds are not insured or otherwise protected by the FDIC. In addition, in such circumstances we might not be able to timely pay key vendors and others. We regularly maintain cash balances that are not insured or are in excess of the FDIC’s insurance limit. Any delay in our ability to access our cash, cash equivalents and investments (or the loss of some or all of such funds) or to timely pay key vendors and others could have a material adverse effect on our operations and cause us to need to seek additional capital sooner than planned.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development and commercialization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substantially dependent on the success of our product candidates, rinzimetostat and enozertinib. If we are unable to complete development of, obtain approval for and commercialize our product candidates for one or more indications in a timely manner, our business will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allocate the majority of our efforts and financial resources to the development of rinzimetostat and enozertinib. Our future success is dependent on our ability to timely and successfully complete clinical trials, obtain marketing approval for and successfully commercialize rinzimetostat and enozertinib.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product candidates will require additional clinical development, expansion of manufacturing capabilities, marketing approval from government regulators, substantial investment and significant marketing efforts before we can generate any revenues from product sales. We are not permitted to market or promote rinzimetostat, enozertinib or any other product candidate, before we receive marketing approval from the FDA and comparable foreign regulatory authorities, and we may never receive such marketing approvals.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product candidates will depend on several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and timely completion of our ongoing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addressing any delays in our clinical trials and additional costs incurred as a result of a global pandemic or other public health emergencies, including those resulting from preclinical study delays and adjustment to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and successful patient enrollment and completion of additional clinical trials of our product candidates on a timely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 establishing relationships with CROs and clinical sites for the clinical development of our product candidates both in the United States and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frequency and severity of adverse events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demonstrating efficacy, safety and tolerability profiles that are satisfactory to the FDA, EMA or any comparable foreign regulatory authority for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timely receipt of marketing approvals for our product candidates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timely identification, development and approval of companion diagnostic tests, if required;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of any required post-marketing approval commitments to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maintenance of existing or the establishment of new supply arrangements with third-party drug product suppliers and manufacturers for clinical development and, if approved,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patent protection, trade secret protection and regulatory exclusivity, both in the United States and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protection of our rights in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launch of commercial sales following any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continued acceptable safety profile following any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acceptance by patients, the medical community and third-party payors;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with other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our product candidates, which would materially harm our business. If we do not receive marketing approvals for our product candidates, we may not be able to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 addition to rinzimetostat and enozertinib, our prospects depend in part upon developing and commercializing additional product candidates, which may fail in development or suffer delays that adversely affect their commercial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operating results are dependent on our ability to successfully develop, obtain regulatory approval for and commercialize product candidates. All of our current programs other than rinzimetostat and enozertinib, are in research or preclinical development. A product candidate can unexpectedly fail at any stage of preclinical and/or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other product candidates we may develop will depend on many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generating sufficient data to support the initiation or continuation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addressing any delays in our research programs resulting from factors related to a global pandemic or other public health emergencies;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permission to initiate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contracting with the necessary parties to conduct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of patients in, and the completion of, clinical trials on a timely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timely manufacture of sufficient quantities of a product candidate for use in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events in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successfully advance product candidates into clinical development, their success will be subject to all of the clinical, regulatory and commercial risks described elsewhere in this “Risk Factors” section. Accordingly, we cannot assure you that we will ever be able to develop, obtain regulatory approval of, commercialize or generate significant revenue from any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Applications for our product candidates could fail to receive regulatory approval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or other comparable foreign regulatory authorities may disagree with the design, implementation or results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or other comparable foreign regulatory authorities may disagree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to the FDA, EMA or other comparable foreign regulatory authorities that our product candidate’s risk-benefit ratio for its proposed indication is acceptable;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or other comparable foreign regulatory authorities may fail to approve the manufacturing processes, test procedures and specifications or facilities of third-party manufacturers with which we contract for clinical and commercial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or other comparable regulatory authorities may fail to approve companion diagnostic tests that are required for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EMA or other comparable foreign regulatory authorities may significantly change in a manner rendering our clinical data insufficient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clinical trials of our product candidates may not demonstrate safety and efficacy to the satisfaction of the FDA, EMA or other comparable foreign regulatory authorities or otherwise produce positive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marketing approval from the FDA, EMA or other comparable foreign regulatory authorities for the sale of our product candidates, we must complete preclinical development and extensive clinical trials to demonstrate with substantial evidence the safety and efficacy of such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numerous unforeseen events during, or as a result of, clinical trials that could delay or prevent receipt of marketing approval or our ability to commercialize our product candidates,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feedback from regulatory authorities that requires us to modify the design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or inconclusive clinical trial results that may require us to conduct additional clinical trials or abandon certain drug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clinical trials being larger than anticipated, enrollment in these clinical trials being slower than anticipated or participants dropping out of these clinical trials at a higher rate than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contractors failing to comply with regulatory requirements or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suspension or termination of our clinical trials for various reasons, including non-compliance with regulatory requirements or a finding that our product candidates have undesirable side effects or other unexpected characteristics or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trials of our product candidates being greater than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being insufficient or inadequate;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revising the requirements for approving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in our ongoing and planned clinical trials may in the future suffer other significant adverse events or other side effects not observed in our preclinical studies or previous clinical trials. Our product candidates may be used in populations for which safety concerns may be particularly scrutinized by regulatory agencies.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 which has occurred in the past.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trials.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outcome of preclinical testing and early clinical trials may not be predictive of the success of later clinical trials, and the results of our clinical trials may not satisfy the requirements of the FDA, EMA or other comparable foreign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rinzimetostat or enozertinib will perform in current or future preclinical studies or future clinical trials as they have in prior preclinical studies or clinical trials. Product candidates in later-stage clinical trials may fail to demonstrate sufficient safety and efficacy to the satisfaction of the FDA, EMA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know whether any clinical trials we may conduct will demonstrate consistent or adequate efficacy and safety sufficient to obtain approval to market any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any product candidates may be harmed, which could harm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Adverse results of clinical trials conducted by third parties investigating the same class of product candidates as us in the same or different territories or indications could adversely affect our development of such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efficacy, adverse events, undesirable side effects or other adverse results may emerge in clinical trials conducted by third parties investigating the same class of product candidates as us in the same or different territories or indications. For example, pursuant to the Voronoi License Agreement, Voronoi retains the right to develop and commercialize the same compounds licensed to us, after a certain period, as specified in the Voronoi License Agreement, including the compound we refer to as enozertinib, in the People’s Republic of China, Hong Kong, Macau and Taiwan and, subject to certain restrictions, to collaborate with others for such development and commercialization. We do not have control over Voronoi’s clinical trials or development program, and adverse findings from Voronoi’s conduct of clinical trials could adversely affect our development of enozertinib or even the viability of enozertinib as a product candidate. We may be required to report Voronoi’s adverse events or unexpected side effects to the FDA or comparable foreign regulatory authorities, which could, among other things, order us to cease further development of enozertinib.</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Reports of adverse results, including side effects or safety concerns, in other companies’ clinical trials of the same or similar class of products or of products sharing the same mechanism of action as our product candidates could delay or prevent us from obtaining regulatory approval for our product candidates or negatively impact public perception and market acceptance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a number of clinical trials being conducted by other pharmaceutical companies involving compounds similar to, or potentially competitive with, our product candidates, including compounds of the same or similar class of products or sharing the same mechanism of action as our product candidates. Adverse results reported by these other companies in their clinical trials could delay or prevent our receipt of regulatory approval or our ability to commercialize our product candidates or could negatively impact public perception and market acceptance of our product candidates, which could harm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experience delays or difficulties in the enrollment and/or maintenance of patients in clinical trials, our regulatory submissions or receipt of necessary marketing approvals could be delayed or prevented.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Often done through biomarker testing, patient identification and enrollment are significant factors in the timing of clinical trials. Our ability to identify and enroll eligible patients may be limited or may result in slower enrollment than we anticipate. If patient identification proves unsuccessful, we may have difficulty enrolling or maintaining patients appropriate for our product candidates. Similarly, enrollment in trials for our product candidates may be limited or slower than we anticipated if any required laboratory biomarker tests are not available due to shortages of staff or reagents.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Enrollment of patients in our clinical trials and maintaining patients in our ongoing clinical trials may be delayed or limited if our clinical trial sites limit their onsite staff or temporarily close as a result of a global pandemic or other public health emergencies. For instance, certain of our clinical trial sites in 2020 temporarily stopped or delayed enrolling new patients in response to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a pandemic. These factors could delay the anticipated readouts from our clinical trials and our regulatory submissions.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enrollment may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size and nature of the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and efficacy of approved drugs for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eligibility criteria for the trial in question as defined in the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perceived risks and benefits of the product candidate under study;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willingness to screen their patients for biomarkers to indicate which patients may be eligible for enrollment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monitor patients adequately during and after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proximity and availability of clinical trial sites for prospective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patients enrolled in clinical trials will drop out of the trials before completion or, because they may be late-stage cancer patients, will not survive the full terms of the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operations and financial results could be adversely impacted by global pandemics or other public health emergencies in the United States and the rest of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disruptions that could severely impact our business and clinical trials due to global pandemics or other public health emergencies,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key research and development or other activities related to any impact of disease contraction by or transmission among our employees, including those that are essential workers and work within our laboratory;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enrolling patients in our clinical trials, or those conducted by third parties, and further incurrence of additional costs as a result of preclinical study and clinical trial delays and adjustments;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related to ongoing and increased operational expenses related to a global pandemic or other public health emergency;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clinical site initiation, including difficulties in recruiting clinical site investigators and clinical site staff;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the manufacturing supply chain, which could delay or otherwise impact procurement of materials for certain of our ongoing or planned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healthcare resources away from the conduct of clinical trials, including the diversion of hospitals serving as our clinical trial sites and hospital staff supporting the conduct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key clinical trial activities, such as clinical trial site monitoring, due to limitations on travel imposed or recommended by federal or state governments, employers and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in resources that would otherwise be focused on the conduct of our business or our clinical trials, including because of sickness or the desire to avoid contact with large groups of people or as a result of government-imposed “shelter in place” or similar working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receiving approval from local regulatory authorities to initiate our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clinical sites receiving the supplies and materials needed to conduct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in global shipping that may affect the transport of clinical trial materials, such as investigational drug product used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regulations as part of a response to a global pandemic or other public health emergency which may require us to change the ways in which our clinical trials are conducted, or to discontinue the clinical trials altogether, or which may result in unexpected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necessary interactions with regulators, ethics committees and other important agencies and contractors due to limitations in employee resources or forced furlough of government or contractor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to accept data from clinical trials in affected geographies outside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continue to assess the impact that any public health emergencies may have on our ability to effectively conduct our business operations as planned and there can be no assurance that we will be able to avoid a material impact on our business from such public health emergencies or their consequences, including disruption to our business and downturns in business sentiment generally or in our industry.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a global pandemic or other public health emergency adversely affects our business, financial condition and operating results, it may also have the effect of heightening many of the risks described in this “Risk Factors” section.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successfully develop any required companion diagnostic tests for our product candidates, experience significant delays in doing so, or rely on third parties in the development of such companion diagnostic tests, we may not realize the full commercial potential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exploring predictive biomarkers to determine patient selection for certain of our clinical trials and to evaluate whether a companion diagnostic test will be required for any of our product candidates. In general, the FDA expects to review and approve simultaneously NDA and pre-market approval submissions for a therapeutic and its companion diagnostic, respectively, so any delay in diagnostic approval could delay drug approval. On April 13, 2020, the FDA issued new guidance on developing and labeling companion diagnostics for a specific group of oncology therapeutic products, including recommendations to support a broader labeling claim rather than individual therapeutic products. In June 2023, the FDA announced a new voluntary pilot program through which drug manufacturers can provide to the FDA the diagnostic test performance information used to enroll patients into clinical trials for drug approval. Based on assessment of the performance information, the FDA will publish the minimum performance characteristics recommended for similar tests that may be used to select patients for treatment with the approved drug to help laboratories identify specific biomarkers for their development of laboratory-developed tests (LDTs), and to ensure more consistent performance of these tests for drug selection and improved cancer patient care. In May 2024, the FDA published a final rule that phases out its enforcement discretion for LDTs, unless exempt, and amends the FDA’s regulations to make explicit that in vitro diagnostics are medical devices under the Federal Food, Drug, and Cosmetic Act, including when the manufacturer of the diagnostic product is a laboratory. The American Clinical Laboratory Association and a private laboratory have initiated litigation against the agency to challenge the implementation of this final rule. On March 31, 2025, U.S. District Court in Texas ruled that FDA exceeded its authority and vacated and set aside this LDT final rule in its entirety. We will continue to evaluate the impact of this litigation, as well as any future lawsuits brought against the FDA, and future legislative and administration actions on our companion diagnostic development and strategy. Future guidance documents from the FDA and other regulatory authorities may impact our development of a companion diagnostic for our product candidates and result in delays in regulatory approval. To the extent other approved diagnostics are able to broaden their labeling claims to include our approved drug products, we may be forced to abandon any of our companion diagnostic development plans or we may not be able to compete effectively upon approval, which could adversely impact our ability to generate revenue from the sale of our approved products and our business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rely on third parties for the design, development and manufacture of companion diagnostic tests for our product candidates that require such tests. To be successful, we or our collaborators will need to address a number of scientific, technical, regulatory and logistical challenges. If we or such third parties are unable to successfully develop companion diagnostics, or experience delays in doing so, we may be unable to enroll enough patients for our current and planned clinical trials, the development of our product candidates may be adversely affected or we may not obtain marketing approval, and we may not realize the full commercial potential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develop our programs in combination with other therapies, which exposes us to additional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develop our programs in combination with one or more currently approved cancer therapies or therapies in development. Patients may not be able to tolerate our product candidates in combination with other therapies or dosing of our product candidates in combination with other therapies may have unexpected consequences. 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FDA, EMA or other comparable foreign regulatory authorities do not approve or revoke their approval of these other therapies, or if safety, efficacy, commercial adoption, manufacturing or supply issues arise with the therapies we choose to evaluate in combination with our product candidates, we may be unable to obtain approval of or successfully market any one or all of the product candidates we develop.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limited resources and are focusing our efforts on developing rinzimetostat and enozertinib. As a result, we may fail to capitalize on other indications or product candidates that may ultimately have proven to be more profitable.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focusing our resources and efforts on developing rinzimetostat and enozertinib. As a result, because we have limited resources, we may forgo or delay pursuit of opportunities for other indications or with other product candidates that may have greater commercial potential. For example, we completed a Phase 1b trial of ORIC-533 as a single-agent, in patients with relapsed/refractory multiple myeloma, and intend to evaluate strategic partnerships to develop ORIC-533 in combination with other immune-based antimyeloma therapies. Our resource allocation decisions may cause us to fail to capitalize on viable commercial drugs or profitable market opportunities. Our spending on current and future research and development activities may not yield any commercially viable drugs. If we do not accurately evaluate the commercial potential or target markets for rinzimetostat, enozertinib or any of our other future programs, we may relinquish valuable rights to that product candidate or program through collaboration, licensing or other strategic arrangements in cases in which it would have been more advantageous for us to retain sole development and commercialization rights to such product candidate or program.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biotechnology and pharmaceutical industries are characterized by rapidly advancing technologies, intense competition and a strong emphasis on proprietary and novel products and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drugs physicians use off-label to treat the indications for which we seek approval. This may make it difficult for us to replace existing therapies with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We expect to face competition from existing products and products in development for each of our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rinzimetostat, we are aware of several companies developing inhibitors against PRC2 via EZH2 inhibition that are currently in clinical trials, including Ipsen, Novartis, Daiichi Sankyo, Pfizer, Shanghai HaiHe Pharmaceutical, Treeline Biosciences in collaboration with Jiangsu HengRui Medicine Co., Evopoint Biosciences and Hanmi Pharmaceutical. To our knowledge, Ascentage Pharma has an allosteric PRC2 inhibitor in clinical trials for patients with cancer.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enozertinib, we are aware that Johnson &amp; Johnson and Dizal Pharmaceuticals have FDA-approved products for patients with EGFR exon 20 insertion mutations. We are also aware of several companies developing small molecule inhibitors against EGFR exon 20 insertion mutations and EGFR atypical mutations that are currently in clinical trials, including Cullinan Therapeutics in collaboration with Taiho Pharmaceutical, ArriVent BioPharma in collaboration with Allist Pharmaceuticals, Black Diamond Therapeutics, Scorpion Therapeutics in collaboration with Pierre Fabre, BlossomHill Therapeutics, Avistone Biotechnology, BeBetter Med, Suzhou Puhe Pharmaceutical Technology Co. and Yuhan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obtain approval from the FDA, EMA or other comparable foreign regulatory authorities or develop or commercialize products in our field before we do.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 we are facing increasing competition from companies utilizing artificial intelligence, or AI, in their research and development efforts or other business processes, which could create a competitive advantage that we would find difficult to match. While our current use of AI-based platforms or tools in our business is relatively minimal, many of our competitors have begun utilizing AI tools to aid in the development of pharmaceutical products. Our cautious approach to adopting AI platforms and tools may put us at a competitive disadvantage in comparison to competitors who currently use them in the development of pharmaceutical products or other business processes, which could impair our ability to compete effectively and adversely affect our results of operations. Should we proceed with further AI adoption, we may be subject to significant risks related to developing and deploying AI platforms or tools, and there can be no assurance that the use of AI will enhance the development of our product candidates or be beneficial to our business. Any use of, or reliance on, AI technologies, including generative AI, may also expose us to a range of risks, including the generation or dissemination of inaccurate, misleading, biased, or otherwise harmful content, potential discrimination, intellectual property infringement or misappropriation, defamation, violations of data privacy or cybersecurity requirements, and compliance risks under applicable sanctions and export control laws, among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legal and regulatory framework governing AI remains evolving and uncertain, and it is unclear how existing or future laws may apply to content produced by AI systems. While various jurisdictions have proposed or enacted AI-specific legislation, such as the EU Artificial Intelligence Act (the EU AI Act), the final implementation, interpretation, enforcement of these laws and the impact of these laws on our business are in flux. For example, obligations under the EU AI Act, which establishes broad obligations for the development and use of AI-based technologies in the European Union (EU) based on their potential risks and level of impact, have gone into effect and will continue to be implemented in phases. Other jurisdictions have similarly amended or delayed enforcement deadlines for their AI laws, and the scope and content of those laws remain subject to revision, while the U.S. federal government has taken active steps to preempt or challenge certain state-level AI regulations, including through executive action and legislative recommendations urging Congress to establish a uniform federal framework, though the legal and legislative landscapes remain unsettled.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that we incorporate AI technologies into our business, we may be subject to new or enhanced governmental or regulatory scrutiny, litigation, or other legal liability, ethical concerns, or other complications that could adversely affect our business or reputation. Furthermore, the integration of third-party AI models with our operations relies on certain safeguards implemented by the third-party developers of the underlying AI models, including those related to security and the accuracy, bias, and other variables of the data, and these safeguards may be insufficient. The use of AI applications has resulted in, and may in the future result in, cybersecurity incidents that implicate the data analyzed within such applications and may lead to the inadvertent release of confidential information, which may impact our ability to realize the benefits of our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uneconomical. If we are unable to compete effectively, our opportunity to generate revenue from the sale of our products we may develop, if approved, could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manufacture of drugs is complex, and our third-party manufacturers may encounter difficulties in production or supply chain. If any of our third-party manufacturers encounter such difficulties, our ability to provide adequate supply of our product candidates for clinical trials or our products for patients, if approved, could be delayed or prevented.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Additionally, we may experience supply chain disruptions or slowdowns, including related manufacturing, logistics, labor supply or other factors related to the supply chains of products and materials that we use. If our third-party manufacturers are unable to produce sufficient quantities for clinical trials or for commercialization as a result of these challenges, or otherwise, our development and commercialization efforts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would be impaired, which would have an adverse effect on our business, financial condition, results of operations and growth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methods of product candidate manufacturing or formulation may result in additional costs or delay.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product candidates may not achieve adequate market acceptance among physicians, patients, healthcare payors and others in the medical community necessary for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our product candidates receive regulatory approval, they may not gain adequate market acceptance among physicians, patients, third-party payors and others in the medical community. The degree of market acceptance of any of our approved product candidates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profile as demonstrated in clinical trials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the product candidate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a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use of product candidates in the labeling approved by regulatory authorities, such as boxed warnings or contraindications in labeling, or a Risk Evaluation and Mitigation Strategy (REMS), if any, which may not be required of alternative treatments and competitor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our product candidates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coverage and adequate reimbursement by third-party payors, including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an approved product candidate for use as a combination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 and undergo required diagnostic screening to determine treatment eligibility and of physicians to prescribe these therapies and diagnostic tests;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sales and marketing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publicity relating to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other new therapies for the same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opportunities for our product candidates we develop, if approved, may be limited to certain smaller patient subsets.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Cancer therapies are sometimes characterized as first-line, second-line or third-line, and the FDA often approves new therapies initially only for a particular line of use. When cancer is detected early enough, first-line therapy, such as chemotherapy, hormone therapy, surgery, radiation therapy or a combination of these, is sometimes adequate to cure the cancer or prolong life without a cure. Second- and third-line therapies are administered to patients when prior therapy is not effective. There is no guarantee that product candidates we develop, even if approved, would be approved for first-line therapy, and, prior to any such approvals, we may have to conduct additional clinical trials that may be costly, time-consuming and subject to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who have the cancers we are targeting may turn out to be lower than expected. Additionally, the potentially addressable patient population for the product candidates we develop may be limited or may not be amenable to treatment with our product candidates. Regulatory approval may limit the market of a product candidate to target patient populations when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biomarker-driven identification and/or highly specific criteria related to the stage of disease progression, or progression on or after certain therapies, are utilized.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obtain significant market share for any approved product, if the potential target populations are small, we may never achieve profitability without obtaining marketing approval for additional indications.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successful in augmenting our product pipeline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product candidates we develop may become subject to unfavorable third-party coverage and reimbursement practices, as well as pricing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Most significantly, in August 2022, then-President Biden signed the Inflation Reduction Act of 2022 (IRA) into law. Among other things, the IRA requires manufacturers of certain drugs to engage in price negotiations with Medicare, with prices that can be negotiated subject to a cap (with resulting prices for the initial ten drugs first effective in 2026); imposes rebates under Medicare Part B and Medicare Part D to penalize price increases that outpace inflation (first due in 2023); redesigns the Medicare Part D benefit (beginning in 2024); and replaces the Part D coverage gap discount program with a new discounting program (beginning in 2025). The IRA permits the Secretary of the HHS to implement many of these provisions through guidance, as opposed to regulation, for the initial years. On August 29, 2023, HHS announced the list of the first ten drugs that will be subject to price negotiations. HHS has issued and will continue to issue and update guidance implementing the IRA, although the Medicare drug price negotiation program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currently subject to legal challenges. While the impact of the IRA on the pharmaceutical industry cannot yet be fully determined, it is likely to be significant.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in June 2024, the U.S. Supreme Court overruled the Chevron doctrine, which gives deference to regulatory agencies’ statutory interpretations in litigation against federal government agencies, such as the FDA, where the law is ambiguous. This landmark Supreme Court decision may invite various stakeholders to bring lawsuits against the FDA and other federal agencies to challenge longstanding decisions and policies, which could lead to uncertainty in the industry and disrupt federal agencies’ normal operations. Changes to the leadership of federal agencies like HHS, CMS and FDA under the current administration can lead to new policies and regulations that can have a material impact on our industry and business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entails a significant risk of product liability and if we are unable to obtain sufficient insurance coverage such inability could have an adverse effect on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products, our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Information obtained from expanded access studies may not reliably predict the efficacy of our product candidates in our clinical trials and may lead to adverse events that could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Expanded access studies that we may support are likely to be uncontrolled, carried out by individual investigators and not conducted in strict compliance with good clinical practices (GCPs), all of which can lead to a treatment effect which may differ from that in our clinical trials. These studies provide only anecdotal evidence of efficacy for regulatory review. Patient data from these studies are not designed to be aggregated or reported as study results and may be highly variable.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Expanded access studies provide supportive safety information for regulatory review. Physicians conducting these studies may use our product candidates in a manner inconsistent with the protocol, including in children and in individuals with conditions beyond those being studied in our clinical trials. In addition, patients who receive access to unapproved drugs through expanded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access studies have life-threatening illnesses and generally have exhausted all other available therapies. The risk for serious adverse events in this patient population is high and may be attributed to our product candidates. This could have a negative impact on the safety profile of our product candidates, which could cause significant delays or an inability to successfully commercialize our product candidates and could materially harm our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regulatory approval and other legal compliance matters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unable to obtain U.S. or foreign regulatory approval and, as a result, may be unable to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under the new leadership at the HHS under the current administration, departures and retirements of high-profile regulators at the FDA, layoffs due to the reduction in force initiative, government shutdown, and a lapse in U.S. government appropriations may impact the normal operations at the FDA as well as other federal agencies, which can materially delay our timelines. FDA may lack adequate staff and resources to meet current review, approval, and inspection schedules, which could delay our anticipated timelines. Recent developments at the FDA include implementation of Elsa, a generative AI tool, across all centers at the agency, announcement of a plan to phase out animal testing for monoclonal antibodies and certain other drugs, and the announcement of a new Commissioner’s National Priority Voucher program to companies supporting certain U.S. national health priorities and interests. FDA has also increased its scrutiny of foreign drug manufacturing facilities and other contractors based in China, especially with respect to the transfer of biological materials, genetic data, and other health data of American patients to parties located in China. Further, FDA’s “real-time” release of newly issued Complete Response Letters associated with withdrawn or abandoned applications, if applicable to any of our product candidates, can materially impact our competitive advantage and intellectual property. It is unclear how our industry and our clinical programs will be impacted by policies and regulations implemented under the current administration and the new FDA commissioner or other executive orders. There is significant uncertainty in the industry and how federal agencies like the FDA will change in the coming years under the current administration. To the extent changes lead to disruptions in FDA’s operations, including changes resulting from executive orders; freeze on hiring, federal funding for research, and external communications; layoffs; government shutdown; return-to-office policies, and changes in funding for certain programs at the FDA, correspondence and regulatory review processes with the FDA may be materially delayed.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FDA, EMA and other comparable foreign regulatory authorities may not accept data from trials conducted in locations outside of their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conducted and still conduct clinical trials in the United States. We may choose to conduct additional clinical trials internationally, including our current Phase 1b trials in Asia, Australia and Europe.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marketing approval in the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Brexit and uncertainty in the regulatory framework as well as future legislation in the United Kingdom (UK), EU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 and/or the UK and increase our costs. We cannot predict the impact of such changes and future regulation on our business or the results of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our product candidates receive regulatory approval, they will be subject to significant post-marketing regulatory requirements and oversight.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If the FDA finds that the clinical data used to support approval do not sufficiently represent the diversity of the real-world patient population, the FDA may require additional data on underrepresented populations post-approval, including as a post-marketing requirement, or the FDA may enter into a written agreement with the applicant to collect additional data as a post-marketing commitment.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and GCPs for any clinical trials that we conduct post-approval. In addition, manufacturers of drug products and their facilities are subject to continual review and periodic, unannounced inspections by the FDA and other regulatory authorities for compliance with cGMPs regulations and standards. If we or a regulatory agency discover previously unknown problems with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or the rejection of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our ability to conduct clinical trials, including full or partial clinical holds on ongoing or planned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products, manufacturers or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civil and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withdrawal of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seizures, detentions or import bans;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voluntary or mandatory product recalls and publicity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or partial suspension of production;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imposition of restrictions on operations, including costly new manufacturing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event or penalty described above may inhibit our ability to commercialize our product candidates, if approved, and generate revenue.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FDA and other regulatory agencies actively enforce the laws and regulations prohibiting the promotion of off-label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required by the FDA to obtain approval of a companion diagnostic test in connection with approval of any of our product candidates or a group of therapeutic products, and we do not obtain or we face delays in obtaining FDA approval of a diagnostic test, we will not be able to commercialize the product candidate and our ability to generate revenue will be materially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development of our potential product candidates,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our product candidates. To be successful in developing and commercializing product candidates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of our product candidates, whether before or concurrently with approval of the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our related product candidates. Further, in April 2020, the FDA issued new guidance on developing and labeling companion diagnostics for a specific group of oncology therapeutic products, including recommendations to support a broader labeling claim rather than individual therapeutic products. In May 2024, the FDA published a final rule that phases out its enforcement discretion for LDTs, unless exempt, and amends the FDA’s regulations to make explicit that in vitro diagnostics are medical devices under the Federal Food, Drug, and Cosmetic Act, including when the manufacturer of the diagnostic product is a laboratory. On March 31, 2025, U.S. District Court in Texas ruled that FDA exceeded its authority and vacated and set aside this LDT final rule in its entirety. The full impact of this litigation as well as any future lawsuits brought against the FDA, and future legislative and administration actions on our companion diagnostic development and strategy is unclear.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 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our product candidates, or experience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seek Fast Track designation from the FDA for one or more of our product candidates. Even if one or more of our product candidates receive Fast Track designation, we may be unable to obtain or maintain the benefits associated with the Fast Track designation.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Fast Track designation is designed to facilitate the development and expedite the review of therapies for serious conditions and fill an unmet medical need.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Fast Track designation alone does not guarantee qualification for the FDA’s priority review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in some jurisdictions, including the United States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10 years in Europe. The European exclusivity period can be reduced to six years if a drug no longer meets the criteria for orphan drug designation or if the drug is sufficiently profitable so that market exclusivity is no longer justified.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In response to the court decision in </w:t>
      </w:r>
      <w:r>
        <w:rPr>
          <w:rFonts w:ascii="Times New Roman" w:hAnsi="Times New Roman"/>
          <w:i/>
          <w:color w:val="000000"/>
          <w:sz w:val="20"/>
        </w:rPr>
        <w:t>Catalyst Pharms., Inc. v. Becerra</w:t>
      </w:r>
      <w:r>
        <w:rPr>
          <w:rFonts w:ascii="Times New Roman" w:hAnsi="Times New Roman"/>
          <w:color w:val="000000"/>
          <w:sz w:val="20"/>
        </w:rPr>
        <w:t xml:space="preserve">, 14 F.4th 1299 (11th Cir. 2021), in January 2023, the FDA published a notice in the Federal Register to clarify that while the agency complies with the court’s order in </w:t>
      </w:r>
      <w:r>
        <w:rPr>
          <w:rFonts w:ascii="Times New Roman" w:hAnsi="Times New Roman"/>
          <w:i/>
          <w:color w:val="000000"/>
          <w:sz w:val="20"/>
        </w:rPr>
        <w:t>Catalyst</w:t>
      </w:r>
      <w:r>
        <w:rPr>
          <w:rFonts w:ascii="Times New Roman" w:hAnsi="Times New Roman"/>
          <w:color w:val="000000"/>
          <w:sz w:val="20"/>
        </w:rPr>
        <w:t xml:space="preserve">, the FDA intends to continue to apply its longstanding interpretation of the regulations to matters outside of the scope of the </w:t>
      </w:r>
      <w:r>
        <w:rPr>
          <w:rFonts w:ascii="Times New Roman" w:hAnsi="Times New Roman"/>
          <w:i/>
          <w:color w:val="000000"/>
          <w:sz w:val="20"/>
        </w:rPr>
        <w:t xml:space="preserve">Catalyst </w:t>
      </w:r>
      <w:r>
        <w:rPr>
          <w:rFonts w:ascii="Times New Roman" w:hAnsi="Times New Roman"/>
          <w:color w:val="000000"/>
          <w:sz w:val="20"/>
        </w:rPr>
        <w:t xml:space="preserve">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including the overturning of the </w:t>
      </w:r>
      <w:r>
        <w:rPr>
          <w:rFonts w:ascii="Times New Roman" w:hAnsi="Times New Roman"/>
          <w:i/>
          <w:color w:val="000000"/>
          <w:sz w:val="20"/>
        </w:rPr>
        <w:t xml:space="preserve">Chevron </w:t>
      </w:r>
      <w:r>
        <w:rPr>
          <w:rFonts w:ascii="Times New Roman" w:hAnsi="Times New Roman"/>
          <w:color w:val="000000"/>
          <w:sz w:val="20"/>
        </w:rPr>
        <w:t>doctrine, legislation, agency decisions, and administrative actions, including changes under the current administration, will impact the scope of the orphan drug exclusivity. Orphan drug designation neither shortens the development time or regulatory review time of a drug nor gives the product candidate any advantage in the regulatory review or approval process or entitles the product candidate to priority review.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Where appropriate, we plan to secure approval from the FDA or comparable foreign regulatory authorities through the use of accelerated registration pathways. If we are unable to obtain such approval, or if we fail to meet the requirements or the timeline agreed upon with the FDA for a confirmatory trial, our regulatory approval may be delayed and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Where possible, we plan to pursue accelerated development strategies in areas of high unmet need. We may seek an accelerated approval pathway for one or more of our product candidates.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If the FDA finds that the confirmatory trial is not sufficiently underway or that the sponsor has not met all the requirements or enrollment timeline for the confirmatory trial agreed upon with the FDA before submitting an application for accelerated approval, the FDA may issue a complete response letter and refuse to grant accelerated approval. If we are not able to meet the FDA’s requirements for accelerated approval, then our regulatory approval may be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post-approval confirmatory studies to verify and describe the drug’s clinical benefit. If such post-approval studies fail to confirm the drug’s clinical benefit, the FDA may withdraw its approval of the drug.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seeking such accelerated approval, we will seek feedback from the FDA and will otherwise evaluate our ability to seek and receive such accelerated approval, including alignment with the FDA on requirements for a confirmatory trial.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face difficulties from changes to current regulations and future legislation.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legislative and judicial efforts to repeal, replace, or change some or all of the ACA. In June 2021, the United States Supreme Court held that Texas and other challengers had no legal standing to challenge the ACA, dismissing the case without specifically ruling on the constitutionality of the ACA. It is unclear how future litigation and healthcare measures promulgated by the current administration will impact the implementation of the ACA, our business, financial condition and results of operations. Complying with any new legislation or reversing changes implemented under the ACA could be time-intensive and expensive, resulting in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ACA was enacted. These changes included aggregate reductions to Medicare payments to providers of up to 2% per fiscal year, effective April 1, 2013, which will stay in effect through 2032, unless Congress takes additional action.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the American Rescue Plan Act of 2021 eliminated the statutory cap on Medicaid Drug Rebate Program rebates that manufacturers pay to state Medicaid programs. Elimination of this cap may require pharmaceutical manufacturers to pay more in rebates than it receives on the sale of products, which could have a material impact on our business.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pharmaceutical companies and the Pharmaceutical Research and Manufacturers of America have initiated lawsuits against the federal government asserting that the price negotiation provisions of the IRA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(MFN) and directing the U.S. Trade Representative and Secretary of Commerce to take action to ensure foreign countries are not engaged in practices that purposefully and unfairly undercut market prices and drive price hikes in the United States. The One Big Beautiful Bill Act (OBBBA), which was signed into law in July 2025, includes provisions that will impact the U.S. healthcare system in various ways, including by cuts to Medicaid and introducing new participant work and eligibility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for Medicaid coverage, which are expected to significantly change the administration and applicability of Medicaid coverage.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In June 2026, the CMS issued a proposed rule that would codify policies established in guidance documents for the Medicare Drug Price Negotiation Program for initial price applicability year 2029 and beyond. CMS plans to release guidance in 2026 to implement policies related to the effectuation of the MFP for the Medicare Drug Price Negotiation Program for 2028, consistent with the Inflation Reduction Act. This guidance will specify the requirements that will be applicable to manufacturers and Part B providers for the effectuation of the MFP in 2028. MFN pricing agreements and other measures that use most-favored-nation pricing targets for prescription drugs, including the use of international pricing reference to set drug prices in the United States, or increase generic and biosimilar drug entry sooner than expected, could have a material adverse effect on our industry, ability to set adequate pricing for new drugs to recover research and development costs, and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other legislative, executive, and administrative actions and agency rules implemented by the government on us and the pharmaceutical industry as a whole is unclear. Further, uncertainties created by the IRA, including its long-term impact on drug pricing, may negatively impact investments, company valuation, royalty-based earnings, mergers, and acquisitions in the industry.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 and expose us to greater liability.</w:t>
      </w:r>
    </w:p>
    <w:p>
      <w:pPr>
        <w:pStyle w:val="TextBody"/>
        <w:bidi w:val="0"/>
        <w:spacing w:before="120" w:after="283"/>
        <w:jc w:val="left"/>
        <w:rPr>
          <w:rFonts w:ascii="Times New Roman" w:hAnsi="Times New Roman"/>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w:t>
      </w:r>
      <w:r>
        <w:rPr>
          <w:rFonts w:ascii="Times New Roman" w:hAnsi="Times New Roman"/>
          <w:color w:val="0000FF"/>
          <w:sz w:val="20"/>
        </w:rPr>
        <w:t xml:space="preserve"> </w:t>
      </w:r>
      <w:r>
        <w:rPr>
          <w:rFonts w:ascii="Times New Roman" w:hAnsi="Times New Roman"/>
          <w:color w:val="000000"/>
          <w:sz w:val="20"/>
        </w:rPr>
        <w:t>In addition, the FDA has authorized the state of Florida to develop Section 804 Importation Programs to import certain prescription drugs from Canada for a limited time to help reduce drug costs, provided that Florida’s Agency for Health Care Administration meets the requirements set forth by the FDA. Other states may follow Florida. 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the ACA, the IRA,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 In June 2024, the U.S. Supreme Court overruled the </w:t>
      </w:r>
      <w:r>
        <w:rPr>
          <w:rFonts w:ascii="Times New Roman" w:hAnsi="Times New Roman"/>
          <w:i/>
          <w:color w:val="000000"/>
          <w:sz w:val="20"/>
        </w:rPr>
        <w:t>Chevron</w:t>
      </w:r>
      <w:r>
        <w:rPr>
          <w:rFonts w:ascii="Times New Roman" w:hAnsi="Times New Roman"/>
          <w:color w:val="000000"/>
          <w:sz w:val="20"/>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and other federal agencies to challenge longstanding decisions and policies,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collection, use and other processing of health data relating to individuals in the EU is governed by the General Data Protection Regulation (GDPR), which extends the geographical scope of EU data protection law to non-EU entities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certain conditions and imposes substantial obligations upon companies and new rights for individuals. Failure to comply with the GDPR and the applicable national data protection laws of EU Member States may result in fines up to €20,000,000 or up to 4% of the total worldwide annual turnover of the preceding financial year, whichever is higher, and other administrative penalties and liabilities. The GDPR has increased our responsibility and liability in relation to personal data that we may process, and we may be required to put in place additional mechanisms in an effort to comply with the GDPR or other laws and regulations relating to privacy, data protection and cybersecurity. This may be onerous and if our efforts to comply with GDPR or other applicable laws and regulations are not successful, it could adversely affect our business. Further, the European Court of Justice in 2020 invalidated the EU-U.S. Privacy Shield and imposed additional requirements for companies making use of standard contractual clauses issued by the European Commission (SCCs), including requirements to make use of updated SCCs. The UK also has issued updated standard contractual clauses that are required to be implemented. Additionally, the U.S. Department of Justice issued in January 2025 a final rule, effective April 8, 2025, which places limitations, and in some cases prohibitions, on certain transfers of sensitive personal data to business partners located in China or with other specified links to China and other designated countries. These and other developments with respect to cross-border data transfer may impose additional obligations with respect to cross-border data transfer and may require us to modify our policies and practices and engage in additional contractual negotiations, each of which could increase our costs and obligations and impose limitations upon our ability to efficiently transfer personal data across borders.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 UK has implemented legislation that substantially implements and complements the GDPR, with penalties for noncompliance of up to the greater of £17.5 million or four percent of worldwide revenues. The UK enacted the UK Data (Use and Access) Act 2025 (DUAA) on June 19, 2025, which made targeted amendments to the UK’s data protection regime that cause it to deviate further from the GDPR. This has introduced additional compliance complexity to the UK’s data protection regime. We may be required to incur significant costs and expenses in an effort to comply with distinct privacy and data protection requirements in the EU and UK. More generally, we may incur liabilities, expenses, costs, and other operational losses under the GDPR and the privacy and data protection laws of applicable EU Member States and the UK in connection with any measures we take to comply with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state and foreign laws may apply generally to the privacy and security of information we maintain, and may differ from each other in significant ways, thus complicating compliance efforts. For example, the California Consumer Privacy Act of 2018 (CCPA), which took effect on January 1, 2020,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or the California Privacy Protection Agency, with fines set at $2,500 per violation (i.e., per person) or $7,500 per intentional violation and (b) authorizes private lawsuits to recover statutory damages for certain data breaches. While it exempts some data regulated by the Health Insurance Portability and Accountability Act of 1996 (HIPAA) and certain clinical trials data, the CCPA may increase our compliance costs and potential liability with respect to other personal information we collect about California residents. Additionally, the California Privacy Rights Act (CPRA) became operative in most respects on January 1, 2023. The CPRA significantly modified the CCPA, which may require us to modify our practices and policies and may further increase our compliance costs and potential liability. Numerous other states’ legislatures are considering or have enacted similar laws that will require ongoing compliance efforts and investment, and which may increase our potential liability and adversely affect our business. For example, Colorado, Connecticut, Utah and Virginia have enacted legislation similar to the CCPA and CPRA that took effect in 2023; Florida, Montana, Oregon and Texas have enacted similar legislation that became effective in 2024; Tennessee, Iowa, Delaware, Maryland, Minnesota, Nebraska, New Hampshire and New Jersey have enacted similar legislation that became effective in 2025; Indiana, Rhode Island and Kentucky have enacted similar legislation that have become effective in 2026; Oklahoma and Alabama have enacted similar legislation that will become effective in 2027; and Vermont has enacted similar legislation that will become effective in 2028. Further, other states have enacted laws that cover certain aspects of the collection, use, disclosure, and/or other processing of health information, such as Washington’s My Health, My Data Act, which, among other things, provides for a private right of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interpretation and application of laws and regulations relating to privacy, data protection, data security, and other matters in the United States, the EEA, and elsewhere are often uncertain, contradictory, and in flux. Any failure or perceived failure to comply with federal, state, or foreign laws or regulations, or contractual or other legal obligations, may result in claims, warnings, communications, requests, or investigations from individuals, supervisory authorities, or other legal or regulatory authorities, and regulatory investigations or other proceedings. It is possible that these laws, regulations, and other actual or asserted obligations may be interpreted and applied in a manner that is inconsistent with our practices. If so, this could result in claims, demands, and litigation or other proceedings initiated by regulatory authorities or others, and fines, penalties, damages, or other liabilities, as well as government-imposed orders requiring that we change our practices, which could adversely affect our business. Our efforts to comply with emerging and changing legal and regulatory requirements relating to privacy, data protection, data security and other matters may cause us to incur costs or require us to change our business practices, which could harm our business, financial condition, and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public health emergency, the FDA temporarily postponed inspections of foreign manufacturing facilities and routine surveillance inspections of domestic manufacturing facilities. If a prolonged government shutdown or other disruption occurs,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(AKS)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false claims laws, including the civil False Claims Act (FCA),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HIPAA, prohibits, among other things, executing or attempting to execute a scheme to defraud any healthcare benefit program or making false statements relating to healthcare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with respect to safeguarding the privacy, security and transmission of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covered recipients, including physicians (defined to include doctors, dentists, optometrists, podiatrists and chiropractors), certain non-physician healthcare providers (such as physician assistants and nurse practitioners), and teaching hospitals, as well as information regarding ownership and investment interests held by physicians and their immediate family members;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(such as Washington’s My Health, My Data Act, which, among other things, provides for a private right of action), many of which differ from each other in significant ways and often are not preempted by HIPAA, thus complicating compliance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other U.S. healthcare laws and compliance requirements, we could become subject to fines or penalties or incur costs that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our current and future activities with investigators, healthcare professionals, consultants, third-party payors, patient organizations and customers are subject to regulation by various federal, state and local authorities in addition to the FDA, which may include but are not limited to, CMS, other divisions of the U.S. Department of Health and Human Services (e.g., the Office of Inspector General), the U.S. Department of Justice (DOJ) and individual U.S. Attorney offices within the DOJ, and state and local governments. For example, our business practices, including our clinical research, sales, marketing and scientific/educational grant programs may be required to comply with the anti-fraud and abuse provisions of the Social Security Act, the false claims laws, the patient data privacy and security provisions of HIPAA transparency requirements, and similar state laws, each as amended, as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AKS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good, item, facility or service reimbursable, in whole or part, under Medicare, Medicaid or other federal healthcare programs. The term “remuneration” has been interpreted broadly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 anything of value. The federal AKS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intent standard under the federal AKS was amended by the ACA, to a stricter standard such that a person or entity no longer needs to have actual knowledge of the federal AKS or specific intent to violate it in order to have committed a violation. Rather, if “one purpose” of the remuneration is to induce referrals, the federal AKS is implicated. In addition, the ACA codified case law that a claim that includes items or services resulting from a violation of the federal AKS constitutes a false or fraudulent claim for purposes of the federal civil FCA (discussed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civil monetary penalties statute imposes penalties against any person or entity who, among other things, is determined to have presented or caused to be presented a claim to a federal healthcare program that the person knows or should know is for a medical or other item or service that was not provided as claimed or is false or fraudulent.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civil FCA prohibits, among other things, any person or entity from knowingly presenting, or causing to be presented, a false claim for payment to, or approval by, the federal government,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As a result of a modification made by the Fraud Enforcement and Recovery Act of 2009, a claim includes “any request or demand” for money or property presented to the U.S. government. Pharmaceutical and other healthcare companies are being investigated or, in the past,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imposes criminal and civil liability for,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Like the AKS, the ACA amended the intent standard for certain healthcare fraud statutes under HIPAA such that a person or entity no longer needs to have actual knowledge of the statute or specific intent to violate it in order to have committed a violation.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U.S. state laws and regulations, including state anti-kickback and false claims laws, may apply to claims involving healthcare items or services reimbursed by any third-party payor, including private insurers our business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HITECH, and their implementing regulations, imposes requirements on certain types of individuals and entities relating to the privacy, security and transmission of individually identifiable health information. Among other things, HITECH makes HIPAA’s privacy and security standards directly applicable to business associates that are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covered recipients, including physicians (defined to include doctors, dentists, optometrists, podiatrists and chiropractors), certain non-physician healthcare providers (such as physician assistants and nurse practitioners) and teaching hospitals, or to entities or individuals at the request of, or designated on behalf of, such covered recipients, and to report annually certain ownership and investment interests held by physicians and their immediate family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states that require manufacturers and others to adopt new technology capable of tracking and tracing product as it moves through the distribution chain.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and local laws also require pharmaceutical and biotechnology companies to comply with the pharmaceutical industry’s voluntary compliance guidelines and the relevant compliance guidance promulgated by the U.S. federal government, establish marketing compliance programs, restrict payments that may be made to healthcare providers professionals and entities and other potential referral sources, file periodic reports with the state relating to pricing and marketing, make periodic public disclosures on sales, marketing, pricing, clinical trials and other activities, and/or register field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 Ensuring that our internal operations and future business arrangements with third parties comply with applicable healthcare laws and regulations will involve substantial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breadth of these laws and the narrowness of the statutory exceptions and safe harbors available,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exclusion, debarment or refusal to allow us to enter into government contracts, contractual damages, reputational harm, administrative burdens,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DOJ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products in 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 more countries and could materially damage our reputation, our brand, our international activities, our ability to attract and retain employees and our business, prospects, operating results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Enhanced trade tariffs, import restrictions, export restrictions, Chinese regulations or other trade barriers may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continuing to expand our international operations as part of our strategy. There is currently significant uncertainty about the future relationship between the United States and various other countries, most significantly China, with respect to trade policies, treaties, government regulations and tariffs. There is a possibility that the United States could continue to impose greater restrictions on international trade and significant increases in tariffs on goods imported into the United States. In September 2018, the U.S. Trade Representative (USTR) enacted a tariff on the import of other Chinese products, with a combined import value of approximately $200 billion. Since that time USTR has modified these tariff rates and imposed tariffs on additional goods. In addition, since February 4, 2025, the U.S. government has imposed additional tariffs on the import of almost all Chinese origin goods which are now 30% and an additional baseline reciprocal 10% tariff on certain products of most other U.S. trading partners, with exemptions for certain pharmaceuticals, semiconductors, and consumer electronics. Additional tariffs may in the future be implemented by the U.S. government (including on imports of pharmaceutical products into the United States currently under investigation by the U.S. Department of Commerce, among other potential tariffs), the implementation, scope, and duration of which remain uncertain. Tariffs on imports of Active Pharmaceutical Ingredients (APIs) and starting materials used in our product candidates as well as product candidates themselves, or retaliatory trade measures taken by China or other countries, which could potentially include restricted access to APIs or starting materials used in our product candidates, could result in us needing to make changes to our product candidates, or materially harm our business, financial condition and results of operations. Further, the continued threats of tariffs, trade restrictions, and trade barriers could have a generally disruptive impact on the global economy and, therefore, negatively impact our company.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employee matters, managing our growth and other risks related to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success is highly dependent on our ability to attract and retain highly skilled executive officers and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could in the future have difficulty attracting and retaining experienced personnel and may be required to expend significant financial resources in our employee recruitment and retention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develop and commercialize our product candidates will be limited and the potential for successfully growing our business will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unable to maintain consulting relationships with our scientific founders or if they provide services to our competitors, our development and commercialization efforts will be impaired and our business will be significantly harmed.</w:t>
      </w:r>
    </w:p>
    <w:p>
      <w:pPr>
        <w:pStyle w:val="TextBody"/>
        <w:bidi w:val="0"/>
        <w:spacing w:before="120" w:after="283"/>
        <w:jc w:val="left"/>
        <w:rPr>
          <w:rFonts w:ascii="Times New Roman" w:hAnsi="Times New Roman"/>
          <w:sz w:val="20"/>
        </w:rPr>
      </w:pPr>
      <w:r>
        <w:rPr>
          <w:rFonts w:ascii="Times New Roman" w:hAnsi="Times New Roman"/>
          <w:b/>
          <w:i/>
          <w:color w:val="000000"/>
          <w:sz w:val="20"/>
        </w:rPr>
        <w:t>Our strategic pipeline prioritization and the associated workforce reduction announced in August 2025 may not result in anticipated cost savings and could disrupt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12, 2025, we announced a strategic pipeline prioritization to focus operational and financial resources on the continued advancement of our two lead clinical programs, rinzimetostat and enozertinib. This initiative has resulted in a substantial decrease in preclinical research, primarily from the elimination of our discovery research group. This resulted in an approximately 20% workforce reduction. We may not realize, in full or in part, the anticipated benefits, savings and improvements in our operating structure from our new strategic efforts due to unforeseen difficulties, delays or unexpected costs. If we are unable to realize the expected operational efficiencies and cost savings from the strategic pipeline prioritization, our results of operation and financial condition would be adversely affected. We also cannot guarantee that we will not have to undertake additional workforce reductions or related activities in the future. Such cost reduction efforts may in the future adversely affect our ability to attract and retain employees, and may adversely affect our culture and impact our ability to effectively pursue our business strategy. Furthermore, our strategic pipeline prioritization may be disruptive to our operations. For example, our workforce reduction could yield unanticipated consequences, such as attrition beyond planned staff reductions, increased difficulties in our day-to-day operations and reduced employee morale. If employees who were not affected by the reduction in force seek alternate employment, this could result in us seeking contract support which may result in unplanned additional expense or harm our productivity. Our workforce reduction could also harm our ability to attract and retain qualified management, scientific, and clinical personnel who are critical to our business. Any failure to attract or retain qualified personnel could prevent us from successfully developing our product candidates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establish sales or marketing capabilities or enter into agreements with third parties to sell or market our product candidates, we may not be able to successfully sell or market our product candidates that obtain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 order to successfully implement our plans and strategies, we will need to grow the size of our organization, and we may experience difficulties in managing this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111 full-time employees, including 83 employees engaged in research and development.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recruiting, integrating, maintaining and motivating additional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internal development efforts effectively, including the clinical, FDA, EMA and other comparable foreign regulatory agencies’ review process for our product candidates, while complying with any contractual obligations to contractors and other third parties we may have;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Moreover, there is the potential that our independent contractors could be deemed to be misclassified under applicable worker classification laws, which could subject us to penalties or other liabilities.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our product candidates or otherwise advance our business. We cannot assure you that we will be able to manage our existing third-party service providers or find other competent outside contractors and consultants on economically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effectively expand our organization by hiring new employees and/or engaging additional third-party service providers, we may not be able to successfully implement the tasks necessary to further develop and commercialize our product candidates and, accordingly, may not achieve our research, development and commercialization goals.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internal computer systems, or those of any of our CROs, manufacturers, other contractors or consultants or potential future collaborators, may fail or suffer security or data privacy breaches or incidents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the implementation of security measures in an effort to protect systems that store our information, given their size and complexity and the increasing amounts of information maintained and otherwise processed on our information technology systems, and those of our third-party CROs, other contractors (including sites performing our clinical trials) and consultants, these systems are potentially vulnerable to breakdown or other damage, disruption,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or from cyber-attacks by malicious third parties (including the deployment of harmful malware, ransomware, denial-of-service attacks, phishing and other means of social engineering, and other means to affect service reliability and threaten the confidentiality, integrity and availability of information), which may compromise our system infrastructure or that of our third-party CROs, other contractors (including sites performing our clinical trials) and consultants or lead to the loss, destruction, alteration, disclosure, or dissemination of, or damage or unauthorized access to, our data or data that is processed or maintained on our behalf, or other assets. For example, we have received phishing attacks, and companies have experienced an increase in phishing and social engineering attacks from third parties in recent years, and the increase in remote working further increases security threats. Additionally, for example, our third-party CROs or other contractors and consultants have suffered, and in the future may suffer, instances of unauthorized access to their systems. To date, we have not identified any such instance that we have assessed as material to our business or operations. International military conflicts and geopolitical tensions may increase cybersecurity threats that we and our CROs and other contractors and consultants face. Moreover, advancements in technology, such as AI and machine learning, are changing and may continue to change the way companies are subjected to attempts to gain unauthorized access and disrupt systems, thereby increasing the risks of security threats and attacks. Any disruption or security breach or incident resulting in any loss, destruction, unavailability, or unauthorized alteration, disclosure, dissemination, or processing of, or damage or unauthorized access to, our applications, any data processed or maintained on our behalf, or other assets, or any belief or reporting that any of these has occurred, could cause us to incur liability, financial harm and reputational damage and delays in the development and commercialization of our product candidates. We cannot assure you that our data protection efforts and our investment in information technology, or the efforts or investments of CROs, consultants or other third parties, have prevented or will prevent significant breakdowns, disruptions, or breaches in systems or have prevented or will prevent security breaches or incidents leading to loss, destruction, unavailability, alteration or dissemination of, or damage or unauthorized access to, our data or other data processed or maintained on our behalf or other assets that could have a material adverse effect upon our reputation, business, operations or financial condition. Any such event causing interruptions in our operations could result in a material disruption of our programs and delays in development of our product candidates. In addition, the loss, corruption, or unavailability of clinical trial data for our product candidates could result in delays in our marketing approval efforts and significantly increase our costs to recover or reproduce the data. Furthermore, significant disruptions of information technology systems or security breaches or incidents suffered by us or any of our third-party CROs, other contractors, or consultants, could result in the loss, misappropriation, and/or unauthorized access, use, or disclosure, dissemination, or other processing of, or the prevention of access to, data (including trade secrets or other confidential information, intellectual property, proprietary business information, and personal information), which could result in financial, legal, business, and reputational harm to us. Any such event or any other security breach or incident leading to loss, corruption, or unavailability of, damage to, unauthorized access to, or use, alteration, disclosure, dissemination, or other processing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Notifications and follow-up actions related to a security breach or incident could impact our reputation and cause us to incur significant costs, including legal expenses and remediation costs. We expect to incur significant costs in our efforts to detect and prevent security incidents, and we may face increased costs and requirements to expend substantial resources in the event of an actual or perceived security breach or incident. We also rely on third parties to manufacture our product candidates, and similar events relating to their systems could also have a material adverse effect on our business. Any damage, disruption, or interruption of systems, or security breach or incident resulting in any disruption of our operations or loss, destruction, unavailability, or alteration of, or damage or unauthorized access to, our data or other information that is processed or maintained on our behalf, or inappropriate disclosure or dissemination of any such information, could expose us to litigation and governmental investigations, delays in development and commercialization of our product candidates, and significant fines or penalties for any noncompliance with certain state, federal and/or international privacy and security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insurance policies may not be adequate to compensate us for the potential losses arising from any such disruption in or, failure or security breach or incident of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operations are vulnerable to interruption by natural disasters, extended power loss, telecommunications failure, terrorist activity, pandemics and other events beyond our control, which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facilities are located in California. We have not undertaken a systematic analysis of the potential consequences to our business and financial results from natural disasters, such as wildfires, earthquakes or tsunamis, extended power loss, terrorist activity, pandemics or other disasters or other disruptions to our business and do not have a recovery plan for such events.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Chief Business Officer was sued by the Securities and Exchange Commission for insider trading on a matter unrelated to ORIC.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17, 2021, the SEC filed a civil enforcement action against our Chief Business Officer for insider trading in violation of the securities laws. The lawsuit involved transactions that occurred in 2016 while our Chief Business Officer was employed by a different company. On April 5, 2024, a jury found our Chief Business Officer liable for insider trading. Pursuant to the final judgment entered by the Court on October 24, 2024, our Chief Business Officer is subject to a monetary penalty and is permanently enjoined from violating Section 10(b) of the Securities Exchange Act of 1934 and Rule 10b-5 promulgated thereunder but is not in any way prohibited or enjoined from serving as an officer or director of a public company. Our Chief Business Officer has appealed the decision to the Ninth Circuit Court of Appeals.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to offset future taxable income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net operating loss (NOL) carryforwards may be unavailable to offset future taxable income because of restrictions under U.S. tax law. Our federal NOLs generated in tax years beginning prior to January 1, 2018 are only permitted to be carried forward for 20 taxable years under applicable U.S. federal tax law, and therefore could expire unused. Our federal NOLs generated in tax years beginning after December 31, 2017 may be carried forward indefinitely, but the deductibility of such NOLs generally is limited to 80% of our current year taxable income for tax years beginning after December 31, 2020. As of December 31, 2025, we had available federal NOL carryforwards of $424.3 million, of which $382.7 million do not expire. We also had available California NOL carryforwards of approximately $573.9 million as of December 31, 2025, which begin to expire in 2034 and are subject to limitation on use, including that such NOLs may not be available to offset California income prior to 2027. In addition, as of December 31, 2025, we had federal and California research and development credit carryforwards totaling $21.7 million and $9.4 million, respectively. The federal credits begin to expire in 2034, while the state credits do not expire.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Limitations on the use of state NOLs also may apply under state tax laws. We may have experienced such ownership changes in the past, and we may experience ownership changes in the future as a result of shifts in our stock ownership, some of which are outside our control. We are currently in the process of conducting a Section 382 study to determine annual limitations, if any, that could result from such changes in the ownership. Our ability to utilize our NOLs and certain other tax attributes could be limited by an “ownership change” as described above and consequently, we may not be able to utilize a material portion of our NOLs and certain other tax attributes before they expire, which could have a material adverse effect on our cash flows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tax laws could have a material adverse effect on our business, cash flow, results of operations or financial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legislation commonly known as the One Big Beautiful Bill Act (OBBBA) was signed into law in July 2025, which enacts significant changes to U.S tax and related laws, including but not limited to current deduction of domestic research expenses, increasing the limit of the deduction of interest expense to thirty percent of EBITDA and one hundred percent bonus depreciation on eligible property acquired after January 19, 2025. There were no material changes to the Company’s tax expense or effective income tax rate due to these rules given the Company’s valuation allowance position. Further, many countries, and organizations such as the Organization for Economic Cooperation and Development have proposed implementing changes to existing tax laws, including a 15% global minimum tax (Pillar Two). Many EU member states and other countries have enacted or are considering enacting such legislation. The United States has withdrawn support for Pillar Two, and the OECD and participating jurisdictions have recently agreed to a side-by-side arrangement that would exempt U.S. parent groups from certain provisions of Pillar Two for fiscal years beginning on or after January 1, 2026. Any of these developments or changes in federal, state, or international tax laws or tax rulings could adversely affect our effective tax rate and our operating results. There can be no assurance that our effective tax rates, tax payments, or tax credits and incentives will not be adversely affected by these or other developments or changes in law.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variety of risks associated with contracting with foreign third parties or marketing our product candidates internationally could materially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contract with foreign third parties or seek regulatory approval of our product candidates outside of the United States and, accordingly, we expect that we will be subject to additional risks related to operating in foreign countries if we obtain the necessary approvals,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regulatory requirements and reimbursement regimes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export controls (including related to data),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imposition of retaliatory trade measures by China or other countries in response to new or escalated tariffs, export controls, or other trade measures by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financial market volatility and uncertainty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international operations may materially adversely affect our ability to attain or maintain profitable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United States and various other countries, such as China, with respect to trade policies, treaties, tariffs, taxes, and other limitations on cross-border operations, collaboration, and investment. The U.S. government has and continues to make significant additional changes in U.S. trade policy and may continue to take future actions that could negatively impact U.S. trade.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the President recently signed into law the National Defense Authorization Act of 2026, which includes Section 851 regarding “[p]rohibition on contracting with certain biotechnology providers” (the BIOSECURE Act), which restricts federal government contracts, grants, and loans from being issued to companies that use biotechnology equipment or services from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designated “biotechnology company of concern,” as part of such companies’ performance of those agreements with the U.S. government. Once fully implemented through regulations to be published by approximately mid-2028, the BIOSECURE Act may ultimately limit certain U.S. biotechnology companies (such as ours) from using equipment or services produced or provided by Chinese biotechnology companies that meet the designation criteria of the new law, or certain affiliated entities. In addition, even if we do not seek any covered federal government contracts, grants, or loans, commercial partners, government agencies, or other third parties may view our business less favorably if we engage with entities that ultimately become biotechnology companies of concern. For example, we currently contract with Chinese companies for certain research and development services, which may be designated a biotechnology company of concern, and this association could affect the perception of our business among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another example, the U.S. Department of Justice's Data Security Program places limitations on U.S. companies’ ability to enter into (and in some cases prohibits) certain contracts involving transfers of sensitive personal data to business partners located in China, or with other specified links to China and other designated countries. The rule further requires U.S. persons to obtain from certain foreign counterparties contractual commitments to refrain from engaging in subsequent transfers of sensitive personal data to entities located in China or with other specified links to China and other designated countries. This new rule will impact our ability to contract not just with Chinese companies but also with foreign entities in general, potentially requiring us to extract promises related to compliance with this new rule.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in September 2018, the USTR enacted a tariff on the import of other Chinese products, with a combined import value of approximately $200 billion. Since that time USTR has modified these tariff rates and imposed tariffs on additional goods. In addition, since February 4, 2025, the U.S. government has imposed additional tariffs on the import of almost all Chinese origin goods which are now 30% and an additional baseline reciprocal 10% tariff on certain products of most other U.S. trading partners, with exemptions for certain pharmaceuticals, semiconductors, and consumer electronics. Additional tariffs may in the future be implemented by the U.S. government (including on imports of pharmaceutical products into the United States currently under investigation by the U.S. Department of Commerce, among other potential tariffs), the implementation, scope, and duration of which remain uncertain. Tariffs on imports of APIs and starting materials used in our product candidates as well as product candidates themselves, or retaliatory trade measures taken by China or other countries, which could potentially include restricted access to APIs or starting materials used in our product candidates, could result in us needing to make changes to our suppliers or our product candidates, or materially harm our business, financial condition and results of operations. Further, the continued threats of tariffs, trade restrictions, and trade barriers could have a generally disruptive impact on the global economy and, therefore, negatively impact our company.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are restricted from sharing relevant data with such service providers or with others, or become unable to export or sell our products to any of our customers or service providers, our business, liquidity, financial condition, and/or results of operations would be materially and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currently operating in a period of economic uncertainty and capital markets disruption, which has been significantly impacted by geopolitical instability, including the ongoing international military conflicts.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and global markets are experiencing volatility and disruption following the escalation of certain geopolitical tensions, including international military conflicts, and the related political and economic responses. Changes in countries’ economic, trade and financial policies could trigger retaliatory actions by other affected countries, resulting in a “trade war,” “cyberwar,” escalation of conventional military conflicts, and other adverse events that could impact our business. For example, the military conflicts like those in Ukraine and the Middle East, and any resulting effects that may follow, could result in increased costs for, or unavailability of, certain materials used in the third-party manufacturing of our product candidates and potential future product candidates. These increased costs could have a negative effect on our financial condition, and any supply interruptions could hinder our product development and make it harder for us to find favorable pricing and reliable sources for the materials needed to manufacture our product candidates and potential future product candidates. It is impossible to predict the extent to which our operations will be impacted in the short and long term, or the ways in which our business may be impacted. The extent and duration of international conflicts, geopolitical tensions, and resulting market disruptions are impossible to predict but could be substantial.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Inflation and market volatility may adversely affect us by increasing our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Recently, inflation and market volatility have increased and caused economic uncertainty throughout the U.S. and global economy. Inflation and market volatility can adversely affect us by increasing the costs of clinical trials and research, the development of our product candidates, administration and other costs of doing business. In fact, we have experienced, and continue to experience, increases in the prices of labor and other costs of doing business. In an inflationary, volatile and economically uncertain environment, cost increases may outpace our expectations, causing us to use our cash and other liquid assets faster than forecasted. If this continues to occur or happens more frequently or at a larger scale, we may need to raise additional capital to fund our operations sooner than expected and we may not be able to secure financing on acceptable terms.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success depends on our ability to protect our intellectual property and our proprietary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patent applications from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issued patents may later be found invalid or unenforceable or may be modified or revoked in proceedings instituted by third parties before various patent offices or in courts. The degree of future protection for our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as of June 30, 2026, we owned fourteen and licensed ten issued patents in the United States pertaining to our product candidates, we cannot be certain that the claims in our other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we be certain that the claims in our issued or licensed patents will not be found invalid or unenforceable if challenged.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may not result in any patents being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may be challenged, invalidated, modified, revoked, circumvented, found to be unenforceable or otherwise may not provide any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Additionally, recent reforms and changes at government agencies of the United States and those of non-U.S. jurisdictions could increase the delays, uncertainties and costs surrounding the prosecution of our owned and licensed patent applications, and the maintenance, enforcement, or defense of our owned and licensed issued patents. For example, the ability of the USPTO and other applicable patent authorities to properly administer their functions is highly dependent on the levels of funding available to the agency and their ability to retain personnel and fill key leadership appointments, among various factors. Termination of employees or delays in replacing or hiring for positions could significantly impact the ability of the USPTO and other applicable patent authorities to fulfill their functions and could greatly impact our ability to timely and adequately prosecute or maintain our owned and licensed patent applications, and our ability to timely and adequately maintain, enforce, or defend our owned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licensed issued patents. It is also possible that we or our licensors will fail to identify patentable aspects of our research and development output before it is too late to obtain patent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Times New Roman" w:hAnsi="Times New Roman"/>
          <w:i/>
          <w:color w:val="000000"/>
          <w:sz w:val="20"/>
        </w:rPr>
        <w:t>inter partes</w:t>
      </w:r>
      <w:r>
        <w:rPr>
          <w:rFonts w:ascii="Times New Roman" w:hAnsi="Times New Roman"/>
          <w:color w:val="000000"/>
          <w:sz w:val="20"/>
        </w:rPr>
        <w:t xml:space="preserve"> review (IPR), or other similar proceedings challenging our owned or in-licensed patent rights. An adverse determination in any such submission, proceeding or litigation could reduce the scope of, or invalidate or render unenforceable, our patent rights or those of our licensors,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competitive advantage.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develop products that are similar to our product candidates but that are not covered by the claims of the patents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collaborators might not have been the first to make the inventions covered by the issued patents or patent application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collaborators might not have been the first to file patent applications covering certain of our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including ANDA applicants, may independently develop similar or alternative technologies or duplicate any of our technologies without infringing our intellectual property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the pending patent applications we own or license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own or license may be held invalid or unenforceable, as a result of legal challenges by our competitors, including ANDA applicants;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in order to maintain certain trade secrets or know-how, and a third party may subsequently file a patent covering such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any of these events occur, it could significantly harm our business,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drug products may obtain FDA marketing approval pursuant to an NDA (described above) for innovator products, or an ANDA for generic products. Relevant to ANDAs, the Hatch-Waxman Act amended the FDCA to establish a statutory procedure for submission and FDA review and approval of ANDAs for generic versions of branded drugs previously approved by the FDA (such previously approved drugs are also referred to as reference listed drugs). Because the safety and efficacy of reference listed drugs have already been established by the brand company (sometimes referred to as the innovator), the FDA typically does not require new human clinical trials to establish safety and efficacy of generic products. Rather, a generic manufacturer is typically required to conduct bioequivalence studies of its test product against the reference listed drug. The bioequivalence studies for orally administered, systemically available drug products assess the rate and extent to which the active pharmaceutical ingredient is absorbed into the bloodstream from the drug product and becomes available at the site of action. Bioequivalence is established when there is an absence of a significant difference in the rate and extent for absorption of the generic product and the reference listed drug. In addition to the bioequivalence data, an ANDA must contain patent certifications and chemistry, manufacturing, labeling, and stability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applicant who files an ANDA seeking approval of a generic equivalent version of a drug listed in the Orange Book must make one of the following certifications to the FDA concerning patents: (1) the patent information concerning the reference listed drug product has not been submitted to the FDA; (2) any such patent that was filed has expired; (3) the date on which such patent will expire; or (4) such patent is invalid, unenforceable or will not be infringed upon by the manufacture, use or sale of the drug product for which the application is submitted. There might also be no relevant patent certification. If the ANDA applicant does not challenge the listed patents or certify that the listed patents will not be infringed by the new product, the ANDA application will not be approved by FDA until all the patents listed in the Orange Book claiming the referenced product or its use have expired.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last patent certification described above is known as a paragraph IV certification. A notice of the paragraph IV certification must be provided to each owner of the patent that is the subject of the certification and to the holder of the approved NDA to which the ANDA refers. The applicant may also elect to submit a “section viii” statement certifying that its proposed label does not contain (or “carves out”) any language regarding the patented method-of-use rather than certify to a listed method-of-use patent. An application with a section viii statement or carve out may be approved if the removal of language from the label necessitated by the carve out does not make the generic drug less safe or effective. This section viii statement does not require notice to the patent holder or NDA owner.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reference NDA holder or patent owners assert a patent challenge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 in the infringement case that is favorable to the applicant. The ANDA application also will not be approved until any applicable non-patent exclusivity has expired. Thus approval of an ANDA can be prevented until all the listed patents claiming the referenced product or use thereof have expired, until any non-patent exclusivity, such as exclusivity for obtaining approval of a new chemical entity, has expired, and, in the case of a Paragraph IV certification and subsequent patent infringement suit, until the earlier of 30 months, settlement of the lawsuit or a decision in the infringement case that is favorable to the ANDA applicant.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issue tentative approval of an ANDA application if the application meets all conditions for approval, but the applicant cannot receive effective approval because the listed patents, the 30-month stay or another period of regulatory exclusivity, as applicable, has not expired. If tentative approval is granted, then once such listed patents, 30-month stay or other regulatory exclusivity have expired or, in the case of patents that are subject to a patent infringement suit, been found to be invalid or not infringed, the applicant may seek final approval by submitting an amendment that, among other things, includes a safety update and any other changes, if any, in the conditions under which the product was tentatively approved. Prior to granting final approval, the FDA must review and approve any changes reflected in the amendment and may consider any other new information that has come to its attention.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or our licensors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 in costly litigation that may cause negative publicity;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divert the time and attention of our technical personnel and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cause development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prevent us from commercializing any of our product candidates until the asserted patent expires or is held finally invalid, not infringed, or unenforceable in a court of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develop non-infringing technology, which may not be possible on a cost-effective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us to significant liability to third parties;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no third party has asserted a material claim of patent infringement against us as of the date of this periodic report, others may hold proprietary rights that could prevent our product candidates from being marketed.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a third party may assert a claim of patent infringement directed at any of our product candidates.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reasonable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pursue invalidity proceedings with respect to third-party patents. The outcome following legal assertions of invalidity is unpredictable. Additionally, we may be subject to claims of patent infringement during those proceedings, and delays caused by the federal agencies may increase the time period that we are subject to such claims. For example, administrative changes, including reduced personnel and budgets experienced by the Patent and Trial Appeal Board, could further delay our ability to timely challenge any such patents.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our product candidates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our development programs may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or maintain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involved in lawsuits to protect or enforce our patents or our licensors’ patents, which could be expensive, time consuming and unsuccessful. Further, our issued patents or our licensors’ patents could be found invalid, unenforceable or not infringed if challenged in court.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For example, the U.S. Supreme Court recently held in </w:t>
      </w:r>
      <w:r>
        <w:rPr>
          <w:rFonts w:ascii="Times New Roman" w:hAnsi="Times New Roman"/>
          <w:i/>
          <w:color w:val="000000"/>
          <w:sz w:val="20"/>
        </w:rPr>
        <w:t>Amgen v. Sanofi</w:t>
      </w:r>
      <w:r>
        <w:rPr>
          <w:rFonts w:ascii="Times New Roman" w:hAnsi="Times New Roman"/>
          <w:color w:val="000000"/>
          <w:sz w:val="20"/>
        </w:rPr>
        <w:t xml:space="preserve"> (2023) that a functionally claimed genus was invalid for failing to comply with the enablement requirement of the Patent Act. As such, our patent rights with functional claims may be vulnerable to third party challenges seeking to invalidate these claims for lacking enablement or adequate support in the specification. Grounds for an unenforceability assertion could include an allegation that someone connected with prosecution of the patent withheld relevant information from the USPTO or made a misleading statement during prosecution.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1, 2023, European patent applications have the option, upon grant of a patent, of becoming a Unitary Patent, which will be subject to the jurisdiction of the Unitary Patent Court (UPC). The option of a Unitary Patent will be a significant change in European patent practice, and our European patent applications, if issued, could be challenged in the UPC. As the UPC is a new court system, there is limited precedent for the court, increasing the uncertainty of any litigation in the UPC. It is uncertain how the UPC will impact granted European patents in the biotechnology and pharmaceutical industries that are subject to its jurisdiction. The UPC may, as a single court system, invalidate or centrally revoke our future European patents that are subject to its jurisdiction, and such a loss of patent protection could have a material adverse impact on our business and our ability to commercialize our technology and product candidates due to increased competition and, resultantly, on our financial condition, prospects and results of operations. During the first seven years of the UPC’s existence, the UPC legislation allows a patent owner to opt its European patents out of the jurisdiction of the UPC. We may, where applicable, opt our future European patents out of the UPC, and as such each of our future European patents for which we opted out would need to be challenged in each individual country. Moreover, our future European patents could remain under the jurisdiction of the UPC if we do not meet all of the opt-out formalities and requirements under the UPC. If we decide to opt out our future European patents from the UPC, doing so may preclude us from realizing the benefits of the UPC, such as the ability to obtain a pan-European injunction against our competitors. The UPC will also provide our competitors with a new forum to potentially obtain pan-European injunctions, and the granting of such pan-European injunctions against us could have a material adverse impact on our business and our ability to commercialize our technology and product candidates and, resultantly, on our financial condition, prospects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issuance of a patent does not give us the right to practice the patented invention. Third parties may have blocking patents that could prevent us from marketing our own patented product and practicing our own patented technology.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Intellectual property litigation may lead to unfavorable publicity that harms our reputation and causes the market price of our common shares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Derivation proceedings may be necessary to determine priority of inventions, and an unfavorable outcome may require us to cease using the related technology or to attempt to license rights from the prevailing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our clinical trials, continue our research programs, license necessary technology from third parties or enter into development or manufacturing partnerships that would help us bring our product candidates to market.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 patent reform legislation could increase the uncertainties and costs surrounding the prosecution of our patent applications or those of our licensors and the enforcement or defense of our issued patents or those of our licensors.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U.S. patent law, or laws in other countries, could diminish the value of patents in general, thereby impairing our ability to protect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those of our licensors or in third-party patents. In addition, Congress or other foreign legislative bodies may pass patent reform legislation that is unfavorable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those of our licensors and the patents we might obtain or license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be subject to claims that former employees, other affiliates, or other third parties have an ownership interest in our patents or those of our licensors or other intellectual property. For example, a current or former employee, other affiliate, or other third party may allege that certain invention assignment agreements or invention assignments are invalid, unenforceable, or otherwise incomplete. Litigation may be necessary to defend against these and other claims challenging inventorship or ownership. If we fail in defending any such claims, in addition to paying monetary damages, we may lose valuable intellectual property rights, such as our ability to enforce or defend our patents or those of our licensors. Such an outcome could have a material adverse effect on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Even if we are successful in defending against such claims, litigation could result in substantial costs and distraction to management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Additionally, the United States Court of Appeals for the Federal Circuit issued a decision involving the interaction of patent term adjustment (PTA), terminal disclaimers, and obviousness-type double patenting that creates uncertainty regarding the patent terms of certain U.S. patents that share the same priority claim where one patent expires later than another patent due to accrued PTA.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do not obtain patent term extension for our product candidates, our business may be materially harmed.</w:t>
      </w:r>
    </w:p>
    <w:p>
      <w:pPr>
        <w:pStyle w:val="TextBody"/>
        <w:bidi w:val="0"/>
        <w:spacing w:before="120" w:after="283"/>
        <w:jc w:val="left"/>
        <w:rPr>
          <w:rFonts w:ascii="Times New Roman" w:hAnsi="Times New Roman"/>
          <w:sz w:val="20"/>
        </w:rPr>
      </w:pPr>
      <w:r>
        <w:rPr>
          <w:rFonts w:ascii="Times New Roman" w:hAnsi="Times New Roman"/>
          <w:color w:val="000000"/>
          <w:sz w:val="20"/>
        </w:rPr>
        <w:t>Depending upon the timing, duration and specifics of FDA marketing approval of our product candidates, one or more of our U.S. patents or those of our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Additionally, administrative changes at the USPTO or other applicable patent authorities, such as reduced hiring and/or funding, may result in delays in issuance of a patent or in accrual of patent term extension, thereby reducing the amount of patent term extension that could otherwise be received. Administrative changes (</w:t>
      </w:r>
      <w:r>
        <w:rPr>
          <w:rFonts w:ascii="Times New Roman" w:hAnsi="Times New Roman"/>
          <w:i/>
          <w:color w:val="000000"/>
          <w:sz w:val="20"/>
        </w:rPr>
        <w:t>e.g.</w:t>
      </w:r>
      <w:r>
        <w:rPr>
          <w:rFonts w:ascii="Times New Roman" w:hAnsi="Times New Roman"/>
          <w:color w:val="000000"/>
          <w:sz w:val="20"/>
        </w:rPr>
        <w:t>, at the FDA or USPTO) may also lead to delays in review and analysis of regulatory submissions or requests for patent term extension, which could result in a patent term extension not being timely granted (</w:t>
      </w:r>
      <w:r>
        <w:rPr>
          <w:rFonts w:ascii="Times New Roman" w:hAnsi="Times New Roman"/>
          <w:i/>
          <w:color w:val="000000"/>
          <w:sz w:val="20"/>
        </w:rPr>
        <w:t>e.g.</w:t>
      </w:r>
      <w:r>
        <w:rPr>
          <w:rFonts w:ascii="Times New Roman" w:hAnsi="Times New Roman"/>
          <w:color w:val="000000"/>
          <w:sz w:val="20"/>
        </w:rPr>
        <w:t>, before the expiration of the patent) and there may be no patent eligible for extension. Moreover, the applicable time period or the scope of patent protection afforded could be less than we project or request. If we are unable to obtain patent term extension or restoration or the term of any such extension is less than we project or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as of June 30, 2026, we owned fourteen and licensed ten issued patents in the United States pertaining to our product candidates and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and those of our licensors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enforce our intellectual property rights around the world may be inadequate to obtain a significant commercial advantage from the intellectual property that we develop, license, or obtain.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and/or patent applications will be due to the USPTO and various foreign patent offices at various points over the lifetime of our patents and/or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use registered or unregistered trademarks or trade names to brand and market ourselves and our products. As of June 30, 2026, we had two trademarks registered with the USPTO. Trademark applications we may file in the future may not result in any trademark registrations being issued, and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if any of our employees, consultants, advisors, or other parties with access to our confidential information use any third-party AI-powered systems or tools in connection with our business or the services they provide to us, it may lead to the inadvertent disclosure of our confidential information, including inadvertent disclosure of our confidential information into third-party training sets, some of which may be publicly available, and which may impact our ability to realize the benefit of, or adequately maintain, protect and enforce our intellectual property or confidential information, which could harm our competitive position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third parties may still obtain our trade secrets or other confidential information or may come upon this or similar information independently, and we would have no right to prevent them from using that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claims that we or our employees have wrongfully used or disclosed alleged confidential information or trade secrets.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A third party has inquired about a potential breach of a non-disclosure and confidentiality agreement in view of our developments in the CD73 inhibitor program. The inquiry may progress to a claim that we or our employees inadvertently or otherwise breached the agreement and used trade secrets or other information proprietary to the third party.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rights to develop and commercialize our technology and product candidates may be subject, in part, to the terms and conditions of licenses granted to us by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licensors may have relied on third party consultants or collaborators or on funds from third parties such that our licensors are not the sole and exclusive owners of the patents we in-licensed. If other affiliates or third parties have ownership rights to our in-licensed patents, they may be able to hinder our ability to enforce or defend such patents, or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existing license agreements, and we expect that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disputes may arise between us and our licensors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patents and other rights to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transfer or assign the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licensors and us and our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reasonable terms, we may be unable to successfully develop and commercialize the affected product candidates, which could have a material adverse effect on our business, financial conditions,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spite of our best efforts, our licensors might conclude that we have materially breached our obligations under such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and we may be required to cease our development and commercialization of certain of our product candidates. For example, if Mirati terminates the Mirati License Agreement, we may be required to cease our development and commercialization of licensed products directed to PRC2 and would be obligated to assign to Mirati, or grant an exclusive license to Mirati with respect to, certain of our patents, know-how and regulatory filings. Likewise, if Voronoi terminates the Voronoi License Agreement, we may be required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cease our development and commercialization of licensed products directed to epidermal growth factor receptor (EGFR, or ErbB1) and human epidermal growth factor receptor 2 (ErbB2) with exon 20 insertion mutations and we would be obligated to grant a nonexclusive license to Voronoi under certain of our patents and know-how, and to assign to Voronoi certain of our regulatory filings. Any of the foregoing could have a material adverse effect on our competitive position, business, financial conditions,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patent protection and patent prosecution for some of our product candidates may be dependent on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normally seek to obtain the right to control the preparation, filing, prosecution, maintenance, enforcement, and defense of the patent applications and patents relating to our product candidates, there may be times when the preparation, filing, prosecution, maintenance, enforcement and defense activities for patents and patent applications relating to our product candidates are controlled by our licensors or collaboration partners. If any of our licensors or collaboration partners fail to prepare, file, prosecute, maintain, enforce, and defend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the preparation, filing, prosecution, maintenance, enforcement, and defense of patents and patent applications we have licensed to and from third parties, we may still be adversely affected or prejudiced by actions or inactions of our licensees, our licensors and their counsel that took place prior to the date upon which we assumed control over such activities.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co-own one pending U.S. patent application and one European patent application, claiming inventions that were generated, in part, through the use of U.S. government funding. In the future, we may acquire or license other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third-party suppliers, and the loss of these third-party suppliers or their inability to supply us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third-party suppliers, including from certain manufacturers located in China that provide us with active pharmaceutical ingredients (API) required for the production of our product candidates, and we expect to continue to depend on third-party suppliers located in various jurisdictions around the world. Our dependence on these third-party suppliers and the challenges faced in obtaining adequate supplies involve several risks, including supply chain issues caused by the effects of worldwide economic conditions, including disruptions due to public health concerns, national security concerns, export or import restrictions, tariffs, or other geopolitical events, limited control over pricing, the availability of such materials, the quality of such materials, and delivery schedules. To the extent our business relies on suppliers, customers, or vendors in countries where the U.S. government has imposed any of these or other trade restrictions, our business may experience a material adverse effect. We may be unable to fully mitigate the effects of these disruptions or conditions. Any supply interruption could materially harm our ability to manufacture our product candidates, or to manufacture our product candidates on commercially reasonable terms, until a new source of supply, if any, can be identified and qualified. In such an event, we may be unable to find a sufficient alternative supply channel in a reasonable time or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commercially reasonable terms. Any performance failure on the part of the suppliers could delay the development and potential commercialization of our product candidates, including limiting supplies necessary for clinical trials and regulatory approvals, which would have a material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U.S. and various other countries, most significantly China, with respect to trade policies, including sanctions, treaties, tariffs, taxes, regulatory requirements, and other limitations on cross-border operations. The U.S. government has made and continues to make significant additional changes in U.S. trade policy and may continue to take future actions that could negatively impact our business. As an example, since April 2025, the U.S. has imposed a 10% tariff on imports from most U.S. trading partners. In addition, the U.S. has imposed a 20% tariff on virtually all imports of Chinese origin since March 2025, and has also imposed a reciprocal tariff of 125% on most Chinese-origin products since April 2025. While some pharmaceuticals and pharmaceutical products have been exempted from the reciprocal tariff of 125%, the U.S. government is currently undertaking an investigation to determine whether additional tariffs may be necessary on pharmaceuticals and pharmaceutical products in order to attain U.S. national security and foreign policy goals. We cannot predict what actions may ultimately be taken with respect to trade relations between the U.S. and China or other countries, what interactions, including products or services, may be subject to such actions, or what actions may be taken by the other countries in retaliation. We may also be subject to indirect supply chain risks caused by recent and new changes in these policies, including an increased risk of recession, inflation, or a general macroeconomic slowdown. If our interactions with third-party suppliers, including the manufacturers we work with in China that supply API required for the production of our product candidates, are affected by any such governmental actions, our business, liquidity, financial condition, or results of operations could be materially and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third parties to conduct our clinical trials and those third parties may not perform satisfactorily, including failing to meet deadlines for the completion of such trials, research and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the ability to independently conduct our clinical trials. We currently rely on third parties, such as CROs, clinical data management organizations, medical institutions and clinical investigators, to conduct our current and planned clinical trials of our product candidates. Third parties have a significant role in the conduct of our clinical trials and the subsequent collection and analysis of data. These third parties are not our employees, and except for remedies available to us under our agreements with such third parties, we have limited ability to control the amount or timing of resources that any such third party will devote to our clinical trials. The third parties we rely on for these services may also have relationships with other entities, some of which may be our competitors. Some of these third parties may terminate their engagements with us at any time. If we need to enter into alternative arrangements with a third party, it would delay our drug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these third parties for such drug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substantially comply with GCP regulations. In addition, our clinical trials must be conducted with product produced under current cGMPs regulations. Our failure to comply with these regulations may require us to repeat clinical trials, which would delay the marketing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contract with third parties for the production of our product candidates for preclinical studies and, in the case of rinzimetostat and enozertinib, our ongoing clinical trials, and expect to continue to do so for additional clinical trials and ultimately for commercialization. This reliance on third parties increases the risk that we will not have sufficient quality and quantities of our product candidates or such quantities at an acceptable cost, which could delay, prevent or impair our development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For each of our product candidates, we rely on a single third-party manufacturer and we currently have no alternative manufacturer in place. 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any product candidates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reason, whether as a result of manufacturing, supply or storage issues or otherwise, we could experience delays, disruptions, suspensions or terminations of, or be required to restart or repeat, any pending or ongoing studies or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termination or nonrenewal of arrangements or agreements by our third-party contractors at a time that is costly or inconvenient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breach by the third-party contractors of our agreements with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third-party contractors to comply with applicable regulatory requirements, including cGMPs;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the third party to manufacture our product candidates according to our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mislabeling of clinical supplies, potentially resulting in the wrong dose amounts being supplied or active drug or placebo not being properly identified;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misappropriation of our proprietary information, including our trade secrets and know-how.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complete control over all aspects of the manufacturing process of our contract manufacturing partners and are dependent on these contract manufacturing partners for compliance with cGMPs regulations for manufacturing both API and finished drug products. To date, we have obtained API and drug product for our product candidates from single-source third party contract manufacturers. We are in the process of developing our supply chain for each of our product candidates and intend to put in place framework agreements under which third-party contract manufacturers will generally provide us with necessary quantities of API and drug product on a project-by-project basis based on our development needs. As we advance our product candidates through development, we will consider our lack of redundant supply for the API and drug product for each of our product candidates to protect against any potential supply disruptions. However, we may be unsuccessful in putting in place such framework agreements or protecting against potential supply disruptions.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manufacturers may not be able to comply with cGMPs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evaluate various acquisition opportunities and strategic partnerships, including licensing or acquiring complementary products, intellectual property rights, technologies or businesses. For instance, in August 2020, we entered into the Mirati License Agreement pursuant to which we licensed from Mirati exclusive worldwide development and commercialization rights to its allosteric PRC2 inhibitor program and, in October 2020, we entered into the Voronoi License Agreement pursuant to which we licensed from Voronoi exclusive development and commercialization rights to its EGFR exon 20 insertion mutation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worldwide (other than in the People’s Republic of China, Hong Kong, Macau and Taiwan). Any such acquisition or strategic partnership may entail numerous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operating expenses and cash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 of additional indebtedness or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of our equity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assimilation of operations, intellectual property and products of an acquired company, including difficulties associated with integrating new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diversion of our management’s attention from our existing programs and initiatives in pursuing such a strategic merger or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retention of key employees, the loss of key personnel and uncertainties in our ability to maintain key business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and uncertainties associated with the other party to such a transaction, including the prospects of that party and their existing products or product candidates and marketing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 For instance, in connection with the Mirati License Agreement, we issued to Mirati 588,235 shares of our common stock and, in connection with the Voronoi License Agreement, we issued Voronoi 283,259 shares of our common stock, each of which resulted in dilution to our existing stockholders.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decide to establish additional collaborations, but are not able to establish those collaborations on commercially reasonable terms, we may have to alter our development and commercialization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For example, we completed a Phase 1b trial of ORIC-533 as a single-agent, in patients with relapsed/refractory multiple myeloma, and intend to evaluate strategic partnerships to develop ORIC-533 in combination with other immune-based antimyeloma therapies.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would face significant competition in seeking additional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there have been a significant number of recent business combinations among large pharmaceutical companies that have resulted in a reduced number of potential future collaborators. Even when we are successful in entering into a collaboration, the terms and conditions of that collaboration may restrict us from entering into future agreements on certain terms with potential collaborators.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enter into collaborations with third parties for the development and commercialization of product candidates. If those collaborations are not successful, we may not be able to capitalize on the market potential of these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and the manner in which they perform their obligations under, these collaborations and may not perform their obligations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rely on third parties to conduct development, manufacturing, and/or commercialization activities, and except for remedies available to us under our collaboration agreements, we have limited ability to control the conduct of such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and distribution rights to multiple products may not commit sufficient resources to the marketing and distribution of our product relative to other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securities markets and ownership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know whether an active, liquid and orderly trading market will continue for our common stock or what the market price of our common stock will be and as a result it may be difficult for you to sell your shares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our initial public offering in April 2020, there was no public market for shares of our common stock and we can provide no assurance that we will be able to sustain an active trading market for our shares.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price of our stock is volatile.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results of preclinical studies and clinical trials of our product candidates, those conducted by third parties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announcements by potential competitors of their product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actions with respect to our products or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our growth rate relative to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collaborations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our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natural disasters or public health emergencies, such as the COVID-19 pandemic;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political, industry and market conditions, including international military conflicts and instability in the financial markets and banking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or if they publish adverse or misleading research or reports, regarding us, our business or our market,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is influenced by the research and reports that securities or industry analysts publish about us, our business or our market. We currently have research coverage from a limited number of securities or industry analysts.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our guidance.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our operating results may fluctuate due to a variety of other factors, many of which are outside of our control and may be difficult to predict,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 of, and level of investment in, research and development activities relating to our current product candidates and any future product candidates and research-stage programs, which will change from time to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enroll patients in clinical trials and the timing of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expenditures that we will or may incur to acquire or develop additional product candidates and technologies or other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outcomes of clinical trials for any of our product candidates, or competing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conduct unanticipated clinical trials or trials that are larger or more complex than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from existing and potential future products that compete with any of our product candidates, and changes in the competitive landscape of our industry, including consolidation among our competitors or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delays in regulatory review or approval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demand for any of our product candidates, if approved, which may fluctuate significantly and be difficult to predict;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risk/benefit profile, cost and reimbursement policies with respect to our product candidates, if approved, and existing and potential future products that compete with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commercialize any of our product candidates, if approved, inside and outside of the United States, either independently or working with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collaborations, licensing or other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adequately support future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unforeseen business disruptions that increase our costs or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accounting pronouncements or changes in our accounting policies;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changing and volatile global economic and political environment.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cumulative effect of these factors could result in large fluctuations and unpredictability in our quarterly and annual operating results. As a result, comparing our operating results on a period-to-period basis may not be meaningful. Investors should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our executive officers, directors, holders of 5% or more of our common stock and their respective affiliates beneficially owned a significant percentage of our outstanding common stock.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These sales, or the perception in the market that the holders of a large number of shares intend to sell shares, could reduce the market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holders of shares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For example, on June 11, 2025, we filed a Form S-3 registration statement, which the SEC declared effective on June 20, 2025, registering 14,130,313 shares of our common stock and 5,100,532 shares of our common stock underlying pre-funded warrants sold in a private placement on May 29, 2025. On December 15, 2023, we filed a Form S-3 registration statement, which the SEC declared effective on December 28, 2023, registering 9,285,710 shares of our common stock and 2,857,142 shares of our common stock underlying pre-funded warrants sold in a private placement on June 27, 2023. In addition, on January 26, 2024, we filed a Form S-3 registration statement, which the SEC declared effective on February 2, 2024, registering 12,500,000 shares of our common stock sold in a private placement on January 23, 2024. Any sales of securities by these stockholders could have a material adverse effect on the market price for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incur increased costs as a result of operating as a public company, and our management devotes substantial time to related compliance initiatives. Additionally, if we fail to maintain proper and effective internal controls, our ability to produce accurate financial statements on a timely basis could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that we did not incur as a private company, and these expenses may increase even more now that we are no longer an “emerging growth company” or a “smaller reporting company” as of December 31, 2025. We are subject to the reporting requirements of the Exchange Act, the Sarbanes-Oxley Act, the Dodd-Frank Wall Street Reform and Protection Act, as well as rules adopted, and to be adopted, by the SEC and Nasdaq. Our management and other personnel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these rules and regulations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as a public company we are required to incur additional costs and obligations in order to comply with SEC rules that implement Section 404 of the Sarbanes-Oxley Act. Under these rules, we are required to make a formal assessment of the effectiveness of our internal control over financial reporting, and once we cease to be a non-accelerated filer, we may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securities litigation, which is expensive and could divert management attention.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is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classified board of directors so that not all members of our board are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permit only the board of directors to establish the number of directors and fill vacancies on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directors may only be removed “for cause” and only with the approval of two-thirds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the issuance of “blank check” preferred stock that our board could use to implement a stockholder rights plan (also known as a “poison pill”);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 which requires all stockholder actions to be taken at a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cumulative voting;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amend the bylaws;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or for proposing matters that can be acted upon by stockholders at annual stockholder meetings;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 super-majority vote of stockholders to amend some provisions described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amended and restated bylaws provide that the Court of Chancery of the State of Delaware and the federal district courts of the United States of America will be the exclusive forums for substantially all disputes between us and our stockholders, which may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of breach of fiduciary duty;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against us arising under the DGCL, our amended and restated certificate of incorporation or our amended and restated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against us that is governed by the internal-affairs doctrine.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provision does not apply to suits brought to enforce a duty or liability created by the Exchange Act or any other claim for which the U.S. federal courts have exclusive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bylaws further provide that the federal district courts of the United States of America will be the exclusive forum for resolving any complaint asserting a cause of action arising under the Securities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pStyle w:val="TextBody"/>
        <w:bidi w:val="0"/>
        <w:spacing w:before="120" w:after="283"/>
        <w:jc w:val="left"/>
        <w:rPr>
          <w:rFonts w:ascii="Times New Roman" w:hAnsi="Times New Roman"/>
          <w:b/>
          <w:color w:val="000000"/>
          <w:sz w:val="20"/>
        </w:rPr>
      </w:pPr>
      <w:bookmarkStart w:id="18" w:name="item_2_unregistered_sale_equity_securiti"/>
      <w:bookmarkEnd w:id="18"/>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 from 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Repurchase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19" w:name="item_3_defaults_upon_senior_securities"/>
      <w:bookmarkEnd w:id="19"/>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20" w:name="item_4_mine_safety_disclosures"/>
      <w:bookmarkEnd w:id="2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21" w:name="item_5_or_information"/>
      <w:bookmarkEnd w:id="21"/>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Securities Trading Arrangements of Directors and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last fiscal quarter, certain directors and officers, as defined in Rule 16a-1(f) of the Exchange Act, adopted a “Rule 10b5-1 trading arrangement” as defined in Regulation S-K Item 408,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26, 2026, Dominic Piscitelli, our Chief Financial Officer, adopted a “Rule 10b5-1 trading arrangement” providing for the sale from time to time of an aggregate of up to 200,600 shares of our common stock and any unsold shared of common stock from Mr. Piscitelli’s prior 10b5-1 trading plan. The trading arrangement is intended to satisfy the affirmative defense in Rule 10b5-1(c) of the Exchange Act. The duration of the trading arrangement is from August 26, 2026, until June 1, 2027, or earlier if all transactions under the trading arrangement are completed.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17, 2026, Mardi Dier, a member of our Board of Directors, adopted a “Rule 10b5-1 trading arrangement” providing for the sale from time to time of an aggregate of up to 114,383 shares of our common stock. The trading arrangement is intended to satisfy the affirmative defense in Rule 10b5-1(c) of the Exchange Act. The duration of the trading arrangement is from September 30, 2026, until June 30, 2027, or earlier if all transactions under the trading arrangement are completed.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described above, no officers or directors, as defined in Rule 16a-1(f) of the Exchange Act, adopted and/or terminated a “Rule 10b5-1 trading arrangement” or a “non-Rule 10b5-1 trading arrangement,” each as defined in Regulation S-K Item 408, during the last fiscal quarter.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2" w:name="item_6_exhibits"/>
      <w:bookmarkEnd w:id="22"/>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8"/>
        <w:gridCol w:w="146"/>
        <w:gridCol w:w="5672"/>
        <w:gridCol w:w="146"/>
        <w:gridCol w:w="511"/>
        <w:gridCol w:w="146"/>
        <w:gridCol w:w="737"/>
        <w:gridCol w:w="146"/>
        <w:gridCol w:w="631"/>
        <w:gridCol w:w="146"/>
        <w:gridCol w:w="1176"/>
      </w:tblGrid>
      <w:tr>
        <w:trPr/>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6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93"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4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6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3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67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2020 Equity Incentive Plan and forms of agreements thereunder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001-39269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6/22/26</w:t>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2" w:type="dxa"/>
            <w:tcBorders/>
            <w:tcMar>
              <w:top w:w="0" w:type="dxa"/>
              <w:left w:w="0" w:type="dxa"/>
              <w:bottom w:w="0" w:type="dxa"/>
              <w:right w:w="0" w:type="dxa"/>
            </w:tcMar>
            <w:vAlign w:val="center"/>
          </w:tcPr>
          <w:p>
            <w:pPr>
              <w:pStyle w:val="TableContents"/>
              <w:bidi w:val="0"/>
              <w:spacing w:before="0" w:after="283"/>
              <w:jc w:val="left"/>
              <w:rPr/>
            </w:pPr>
            <w:hyperlink w:anchor="oric-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2" w:type="dxa"/>
            <w:tcBorders/>
            <w:tcMar>
              <w:top w:w="0" w:type="dxa"/>
              <w:left w:w="0" w:type="dxa"/>
              <w:bottom w:w="0" w:type="dxa"/>
              <w:right w:w="0" w:type="dxa"/>
            </w:tcMar>
            <w:vAlign w:val="center"/>
          </w:tcPr>
          <w:p>
            <w:pPr>
              <w:pStyle w:val="TableContents"/>
              <w:bidi w:val="0"/>
              <w:spacing w:before="0" w:after="283"/>
              <w:jc w:val="left"/>
              <w:rPr/>
            </w:pPr>
            <w:hyperlink w:anchor="oric-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2" w:type="dxa"/>
            <w:tcBorders/>
            <w:tcMar>
              <w:top w:w="0" w:type="dxa"/>
              <w:left w:w="0" w:type="dxa"/>
              <w:bottom w:w="0" w:type="dxa"/>
              <w:right w:w="0" w:type="dxa"/>
            </w:tcMar>
            <w:vAlign w:val="center"/>
          </w:tcPr>
          <w:p>
            <w:pPr>
              <w:pStyle w:val="TableContents"/>
              <w:bidi w:val="0"/>
              <w:spacing w:before="0" w:after="283"/>
              <w:jc w:val="left"/>
              <w:rPr/>
            </w:pPr>
            <w:hyperlink w:anchor="oric-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Furnished herewith</w:t>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2" w:type="dxa"/>
            <w:tcBorders/>
            <w:tcMar>
              <w:top w:w="0" w:type="dxa"/>
              <w:left w:w="0" w:type="dxa"/>
              <w:bottom w:w="0" w:type="dxa"/>
              <w:right w:w="0" w:type="dxa"/>
            </w:tcMar>
            <w:vAlign w:val="center"/>
          </w:tcPr>
          <w:p>
            <w:pPr>
              <w:pStyle w:val="TableContents"/>
              <w:bidi w:val="0"/>
              <w:spacing w:before="0" w:after="283"/>
              <w:jc w:val="left"/>
              <w:rPr/>
            </w:pPr>
            <w:hyperlink w:anchor="oric-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Furnished herewith</w:t>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Furnished herewith</w:t>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6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Furnished herewith</w:t>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6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Furnished herewith</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9" w:type="dxa"/>
            <w:tcBorders/>
            <w:tcMar>
              <w:top w:w="0" w:type="dxa"/>
              <w:left w:w="0" w:type="dxa"/>
              <w:bottom w:w="0" w:type="dxa"/>
              <w:right w:w="0" w:type="dxa"/>
            </w:tcMar>
            <w:vAlign w:val="center"/>
          </w:tcPr>
          <w:p>
            <w:pPr>
              <w:pStyle w:val="TableContents"/>
              <w:bidi w:val="0"/>
              <w:spacing w:before="40" w:after="283"/>
              <w:jc w:val="left"/>
              <w:rPr/>
            </w:pPr>
            <w:r>
              <w:rPr/>
              <w:t> </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The certifications attached as Exhibits 32.1 and 32.2 that accompany this quarterly report on Form 10-Q are not deemed filed with the Securities and Exchange Commission and are not to be incorporated by reference into any filing of ORIC Pharmaceuticals, Inc. under the Securities Act of 1933, as amended, or the Securities Exchange Act of 1934, as amended, whether made before or after the date of this Form 10-Q, irrespective of any general incorporation language contained in such filing.</w:t>
            </w:r>
          </w:p>
        </w:tc>
      </w:tr>
    </w:tbl>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bookmarkStart w:id="24" w:name="part_iv"/>
      <w:bookmarkStart w:id="25" w:name="part_iii"/>
      <w:bookmarkEnd w:id="24"/>
      <w:bookmarkEnd w:id="25"/>
      <w:r>
        <w:rPr/>
        <w:t> </w:t>
      </w:r>
    </w:p>
    <w:tbl>
      <w:tblPr>
        <w:tblW w:w="5126" w:type="dxa"/>
        <w:jc w:val="left"/>
        <w:tblInd w:w="0" w:type="dxa"/>
        <w:tblLayout w:type="fixed"/>
        <w:tblCellMar>
          <w:top w:w="28" w:type="dxa"/>
          <w:left w:w="28" w:type="dxa"/>
          <w:bottom w:w="28" w:type="dxa"/>
          <w:right w:w="28" w:type="dxa"/>
        </w:tblCellMar>
      </w:tblPr>
      <w:tblGrid>
        <w:gridCol w:w="654"/>
        <w:gridCol w:w="594"/>
        <w:gridCol w:w="597"/>
        <w:gridCol w:w="109"/>
        <w:gridCol w:w="804"/>
        <w:gridCol w:w="346"/>
        <w:gridCol w:w="468"/>
        <w:gridCol w:w="468"/>
        <w:gridCol w:w="468"/>
        <w:gridCol w:w="618"/>
      </w:tblGrid>
      <w:tr>
        <w:trPr/>
        <w:tc>
          <w:tcPr>
            <w:tcW w:w="65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ORIC Pharmaceuticals, Inc.</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5"/>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68" w:type="dxa"/>
            <w:gridSpan w:val="5"/>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Jacob M. Chacko</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Jacob M. Chacko, M.D.</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President and Chief Executive Officer</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5"/>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68" w:type="dxa"/>
            <w:gridSpan w:val="5"/>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Dominic Piscitelli</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Dominic Piscitelli</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Chief Financial Officer</w:t>
            </w:r>
          </w:p>
        </w:tc>
      </w:tr>
      <w:tr>
        <w:trPr/>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bookmarkStart w:id="26" w:name="oric-ex31_1.htm"/>
      <w:bookmarkStart w:id="27" w:name="ksoricex31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Jacob M. Chacko,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ORIC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Jacob M. Chacko</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Jacob M. Chacko, M.D.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oric-ex31_2.htm"/>
      <w:bookmarkStart w:id="29" w:name="ksoricex31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Dominic Piscitelli,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ORIC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62" w:type="dxa"/>
        <w:jc w:val="left"/>
        <w:tblInd w:w="0" w:type="dxa"/>
        <w:tblLayout w:type="fixed"/>
        <w:tblCellMar>
          <w:top w:w="28" w:type="dxa"/>
          <w:left w:w="28" w:type="dxa"/>
          <w:bottom w:w="28" w:type="dxa"/>
          <w:right w:w="28" w:type="dxa"/>
        </w:tblCellMar>
      </w:tblPr>
      <w:tblGrid>
        <w:gridCol w:w="1846"/>
        <w:gridCol w:w="109"/>
        <w:gridCol w:w="406"/>
        <w:gridCol w:w="21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Dominic Piscitelli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Dominic Piscitelli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oric-ex32_1.htm"/>
      <w:bookmarkStart w:id="31" w:name="ksoricex32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ORIC Pharmaceuticals,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Jacob M. Chacko</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Jacob M. Chacko, M.D.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oric-ex32_2.htm"/>
      <w:bookmarkStart w:id="33" w:name="ksoricex32_2"/>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ORIC Pharmaceuticals,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462" w:type="dxa"/>
        <w:jc w:val="left"/>
        <w:tblInd w:w="0" w:type="dxa"/>
        <w:tblLayout w:type="fixed"/>
        <w:tblCellMar>
          <w:top w:w="28" w:type="dxa"/>
          <w:left w:w="28" w:type="dxa"/>
          <w:bottom w:w="28" w:type="dxa"/>
          <w:right w:w="28" w:type="dxa"/>
        </w:tblCellMar>
      </w:tblPr>
      <w:tblGrid>
        <w:gridCol w:w="1846"/>
        <w:gridCol w:w="109"/>
        <w:gridCol w:w="406"/>
        <w:gridCol w:w="21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Dominic Piscitelli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Dominic Piscitelli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6280/000119312526277511/d103876d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64435</Words>
  <Characters>363609</Characters>
  <CharactersWithSpaces>427616</CharactersWithSpaces>
  <Paragraphs>4910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